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8522"/>
      </w:tblGrid>
      <w:tr w:rsidR="00605E38" w14:paraId="61B65227" w14:textId="77777777">
        <w:tc>
          <w:tcPr>
            <w:tcW w:w="8522" w:type="dxa"/>
            <w:tcBorders>
              <w:top w:val="nil"/>
              <w:left w:val="nil"/>
              <w:bottom w:val="nil"/>
              <w:right w:val="nil"/>
            </w:tcBorders>
          </w:tcPr>
          <w:p w14:paraId="1DFBD8BB" w14:textId="77777777" w:rsidR="00605E38" w:rsidRPr="00AF7948" w:rsidRDefault="00524ED2" w:rsidP="00524ED2">
            <w:pPr>
              <w:jc w:val="center"/>
              <w:rPr>
                <w:b/>
                <w:sz w:val="22"/>
              </w:rPr>
            </w:pPr>
            <w:r>
              <w:rPr>
                <w:b/>
                <w:sz w:val="22"/>
              </w:rPr>
              <w:t xml:space="preserve">Taptica International </w:t>
            </w:r>
            <w:r w:rsidR="00605E38" w:rsidRPr="00AF7948">
              <w:rPr>
                <w:b/>
                <w:sz w:val="22"/>
              </w:rPr>
              <w:t>Ltd.</w:t>
            </w:r>
          </w:p>
        </w:tc>
      </w:tr>
      <w:tr w:rsidR="00605E38" w14:paraId="38E59F89" w14:textId="77777777">
        <w:tc>
          <w:tcPr>
            <w:tcW w:w="8522" w:type="dxa"/>
            <w:tcBorders>
              <w:top w:val="nil"/>
              <w:left w:val="nil"/>
              <w:bottom w:val="nil"/>
              <w:right w:val="nil"/>
            </w:tcBorders>
          </w:tcPr>
          <w:p w14:paraId="2A7A824D" w14:textId="77777777" w:rsidR="00605E38" w:rsidRPr="00AF7948" w:rsidRDefault="00605E38" w:rsidP="00AF7948">
            <w:pPr>
              <w:pStyle w:val="Heading1"/>
              <w:rPr>
                <w:sz w:val="22"/>
                <w:lang w:eastAsia="en-US"/>
              </w:rPr>
            </w:pPr>
            <w:r w:rsidRPr="00AF7948">
              <w:rPr>
                <w:lang w:eastAsia="en-US"/>
              </w:rPr>
              <w:t xml:space="preserve">(the </w:t>
            </w:r>
            <w:r w:rsidR="007D0193" w:rsidRPr="00AF7948">
              <w:rPr>
                <w:lang w:eastAsia="en-US"/>
              </w:rPr>
              <w:t>“</w:t>
            </w:r>
            <w:r w:rsidRPr="00AF7948">
              <w:rPr>
                <w:lang w:eastAsia="en-US"/>
              </w:rPr>
              <w:t>Company”)</w:t>
            </w:r>
          </w:p>
        </w:tc>
      </w:tr>
      <w:tr w:rsidR="00605E38" w14:paraId="3E2388AC" w14:textId="77777777">
        <w:tc>
          <w:tcPr>
            <w:tcW w:w="8522" w:type="dxa"/>
            <w:tcBorders>
              <w:top w:val="nil"/>
              <w:left w:val="nil"/>
              <w:bottom w:val="nil"/>
              <w:right w:val="nil"/>
            </w:tcBorders>
          </w:tcPr>
          <w:p w14:paraId="5C262342" w14:textId="77777777" w:rsidR="00605E38" w:rsidRPr="00AF7948" w:rsidRDefault="00605E38" w:rsidP="009024A9">
            <w:pPr>
              <w:pStyle w:val="Heading1"/>
              <w:spacing w:before="240" w:after="120"/>
              <w:rPr>
                <w:sz w:val="22"/>
                <w:lang w:eastAsia="en-US"/>
              </w:rPr>
            </w:pPr>
            <w:r w:rsidRPr="00AF7948">
              <w:rPr>
                <w:sz w:val="22"/>
                <w:lang w:eastAsia="en-US"/>
              </w:rPr>
              <w:t>Form of Proxy</w:t>
            </w:r>
          </w:p>
        </w:tc>
      </w:tr>
      <w:tr w:rsidR="00605E38" w14:paraId="30BC2F00" w14:textId="77777777">
        <w:tc>
          <w:tcPr>
            <w:tcW w:w="8522" w:type="dxa"/>
            <w:tcBorders>
              <w:top w:val="nil"/>
              <w:left w:val="nil"/>
              <w:bottom w:val="nil"/>
              <w:right w:val="nil"/>
            </w:tcBorders>
          </w:tcPr>
          <w:p w14:paraId="743F0553" w14:textId="77777777" w:rsidR="00605E38" w:rsidRPr="00AF7948" w:rsidRDefault="00605E38" w:rsidP="00AF7948">
            <w:pPr>
              <w:jc w:val="center"/>
              <w:rPr>
                <w:sz w:val="22"/>
              </w:rPr>
            </w:pPr>
            <w:r w:rsidRPr="00AF7948">
              <w:rPr>
                <w:b/>
                <w:sz w:val="22"/>
              </w:rPr>
              <w:t>Annual General Meeting</w:t>
            </w:r>
          </w:p>
        </w:tc>
      </w:tr>
    </w:tbl>
    <w:p w14:paraId="3E63D191" w14:textId="77777777" w:rsidR="00605E38" w:rsidRDefault="00605E38" w:rsidP="00605E38">
      <w:pPr>
        <w:widowControl w:val="0"/>
        <w:rPr>
          <w:sz w:val="18"/>
        </w:rPr>
      </w:pPr>
    </w:p>
    <w:p w14:paraId="166B74DB" w14:textId="77777777" w:rsidR="00605E38" w:rsidRPr="00FD580B" w:rsidRDefault="00605E38" w:rsidP="00605E38">
      <w:pPr>
        <w:widowControl w:val="0"/>
        <w:jc w:val="both"/>
        <w:rPr>
          <w:sz w:val="20"/>
        </w:rPr>
      </w:pPr>
      <w:r w:rsidRPr="00FD580B">
        <w:rPr>
          <w:sz w:val="20"/>
        </w:rPr>
        <w:t>Before completing this form, please read the explanatory notes below</w:t>
      </w:r>
      <w:r w:rsidR="009024A9">
        <w:rPr>
          <w:sz w:val="20"/>
        </w:rPr>
        <w:t xml:space="preserve"> and accompanying Notice of AGM</w:t>
      </w:r>
      <w:r w:rsidRPr="00FD580B">
        <w:rPr>
          <w:sz w:val="20"/>
        </w:rPr>
        <w:t>.</w:t>
      </w:r>
    </w:p>
    <w:p w14:paraId="336EAC7B" w14:textId="77777777" w:rsidR="00605E38" w:rsidRPr="00FD580B" w:rsidRDefault="00605E38" w:rsidP="00605E38">
      <w:pPr>
        <w:widowControl w:val="0"/>
        <w:jc w:val="both"/>
        <w:rPr>
          <w:sz w:val="20"/>
        </w:rPr>
      </w:pPr>
    </w:p>
    <w:p w14:paraId="37DBC9FE" w14:textId="44378798" w:rsidR="00605E38" w:rsidRPr="00FD580B" w:rsidRDefault="00FD580B" w:rsidP="0094632C">
      <w:pPr>
        <w:widowControl w:val="0"/>
        <w:jc w:val="both"/>
        <w:rPr>
          <w:sz w:val="20"/>
        </w:rPr>
      </w:pPr>
      <w:r>
        <w:rPr>
          <w:sz w:val="20"/>
        </w:rPr>
        <w:t xml:space="preserve">I/We </w:t>
      </w:r>
      <w:r w:rsidR="00605E38" w:rsidRPr="00FD580B">
        <w:rPr>
          <w:sz w:val="20"/>
        </w:rPr>
        <w:t xml:space="preserve">……………………………………………………………………………………………….appoint the chairman of the meeting or ........................................................................................ as my/our proxy to attend and vote on my/our </w:t>
      </w:r>
      <w:r w:rsidR="00605E38" w:rsidRPr="007673C7">
        <w:rPr>
          <w:sz w:val="20"/>
        </w:rPr>
        <w:t xml:space="preserve">behalf at the </w:t>
      </w:r>
      <w:bookmarkStart w:id="0" w:name="bmkTempReOpen"/>
      <w:bookmarkEnd w:id="0"/>
      <w:r w:rsidR="00503CA3" w:rsidRPr="007673C7">
        <w:rPr>
          <w:sz w:val="20"/>
        </w:rPr>
        <w:t>Annual</w:t>
      </w:r>
      <w:r w:rsidR="00605E38" w:rsidRPr="007673C7">
        <w:rPr>
          <w:sz w:val="20"/>
        </w:rPr>
        <w:t xml:space="preserve"> General Meeting of the Company to </w:t>
      </w:r>
      <w:r w:rsidR="00605E38" w:rsidRPr="00F8610A">
        <w:rPr>
          <w:sz w:val="20"/>
        </w:rPr>
        <w:t xml:space="preserve">be held at </w:t>
      </w:r>
      <w:r w:rsidR="008E55F8" w:rsidRPr="00F8610A">
        <w:rPr>
          <w:sz w:val="20"/>
        </w:rPr>
        <w:t>2</w:t>
      </w:r>
      <w:r w:rsidR="00EB09E4" w:rsidRPr="00F8610A">
        <w:rPr>
          <w:sz w:val="20"/>
        </w:rPr>
        <w:t>.</w:t>
      </w:r>
      <w:r w:rsidR="00DF5992" w:rsidRPr="00F8610A">
        <w:rPr>
          <w:sz w:val="20"/>
        </w:rPr>
        <w:t>00</w:t>
      </w:r>
      <w:r w:rsidR="008E55F8" w:rsidRPr="00F8610A">
        <w:rPr>
          <w:sz w:val="20"/>
        </w:rPr>
        <w:t>p</w:t>
      </w:r>
      <w:r w:rsidR="00605E38" w:rsidRPr="007673C7">
        <w:rPr>
          <w:sz w:val="20"/>
        </w:rPr>
        <w:t>m</w:t>
      </w:r>
      <w:r w:rsidR="009D5BA4" w:rsidRPr="007673C7">
        <w:rPr>
          <w:sz w:val="20"/>
        </w:rPr>
        <w:t xml:space="preserve"> </w:t>
      </w:r>
      <w:r w:rsidR="00F8610A">
        <w:rPr>
          <w:sz w:val="20"/>
        </w:rPr>
        <w:t>BST</w:t>
      </w:r>
      <w:r w:rsidR="00913477" w:rsidRPr="007673C7">
        <w:rPr>
          <w:sz w:val="20"/>
        </w:rPr>
        <w:t xml:space="preserve"> </w:t>
      </w:r>
      <w:r w:rsidR="00605E38" w:rsidRPr="007673C7">
        <w:rPr>
          <w:sz w:val="20"/>
        </w:rPr>
        <w:t xml:space="preserve">on </w:t>
      </w:r>
      <w:r w:rsidR="0094632C">
        <w:rPr>
          <w:sz w:val="20"/>
        </w:rPr>
        <w:t>13 June 2019</w:t>
      </w:r>
      <w:r w:rsidR="009F4F4B" w:rsidRPr="007673C7">
        <w:rPr>
          <w:sz w:val="20"/>
        </w:rPr>
        <w:t xml:space="preserve"> </w:t>
      </w:r>
      <w:r w:rsidR="002B3C4A" w:rsidRPr="007673C7">
        <w:rPr>
          <w:sz w:val="20"/>
        </w:rPr>
        <w:t xml:space="preserve">at the office of </w:t>
      </w:r>
      <w:proofErr w:type="spellStart"/>
      <w:r w:rsidR="00F8610A" w:rsidRPr="00CD23BD">
        <w:rPr>
          <w:sz w:val="20"/>
        </w:rPr>
        <w:t>finnCap</w:t>
      </w:r>
      <w:proofErr w:type="spellEnd"/>
      <w:r w:rsidR="00F8610A" w:rsidRPr="00CD23BD">
        <w:rPr>
          <w:sz w:val="20"/>
        </w:rPr>
        <w:t>, 60 New Broad St, London, EC2M 1JJ</w:t>
      </w:r>
      <w:r w:rsidR="00605E38" w:rsidRPr="007673C7">
        <w:rPr>
          <w:sz w:val="20"/>
        </w:rPr>
        <w:t xml:space="preserve"> and</w:t>
      </w:r>
      <w:r w:rsidR="00605E38" w:rsidRPr="00FD580B">
        <w:rPr>
          <w:sz w:val="20"/>
        </w:rPr>
        <w:t xml:space="preserve"> at any adjournment of the meeting.</w:t>
      </w:r>
    </w:p>
    <w:p w14:paraId="05E0F0EA" w14:textId="77777777" w:rsidR="00605E38" w:rsidRPr="00FD580B" w:rsidRDefault="00605E38" w:rsidP="00605E38">
      <w:pPr>
        <w:widowControl w:val="0"/>
        <w:jc w:val="both"/>
        <w:rPr>
          <w:sz w:val="20"/>
        </w:rPr>
      </w:pPr>
    </w:p>
    <w:p w14:paraId="2186FA1B" w14:textId="77777777" w:rsidR="00605E38" w:rsidRPr="00FD580B" w:rsidRDefault="00605E38" w:rsidP="00605E38">
      <w:pPr>
        <w:widowControl w:val="0"/>
        <w:jc w:val="both"/>
        <w:rPr>
          <w:sz w:val="20"/>
        </w:rPr>
      </w:pPr>
      <w:r w:rsidRPr="00FD580B">
        <w:rPr>
          <w:sz w:val="20"/>
        </w:rPr>
        <w:t>I/We instruct my/our proxy to vote on the resolutions to be proposed at the meeting as indicated below (unless otherwise instructed, the proxy may vote or abstain from voting as he or she sees fit in relation to any business to be considered at the meeting):</w:t>
      </w:r>
    </w:p>
    <w:p w14:paraId="5235A105" w14:textId="77777777" w:rsidR="00605E38" w:rsidRPr="00FD580B" w:rsidRDefault="00605E38" w:rsidP="00605E38">
      <w:pPr>
        <w:pStyle w:val="BodyText"/>
        <w:rPr>
          <w:sz w:val="20"/>
        </w:rPr>
      </w:pPr>
    </w:p>
    <w:p w14:paraId="6E6F1408" w14:textId="77777777" w:rsidR="00605E38" w:rsidRDefault="00605E38" w:rsidP="00605E38">
      <w:pPr>
        <w:widowControl w:val="0"/>
        <w:jc w:val="both"/>
        <w:rPr>
          <w:sz w:val="20"/>
        </w:rPr>
      </w:pPr>
      <w:r w:rsidRPr="00FD580B">
        <w:rPr>
          <w:sz w:val="20"/>
        </w:rPr>
        <w:t>Before completing this form, please read the explanatory notes below.</w:t>
      </w:r>
    </w:p>
    <w:p w14:paraId="3660613B" w14:textId="77777777" w:rsidR="00B77163" w:rsidRPr="00FD580B" w:rsidRDefault="00B77163" w:rsidP="00605E38">
      <w:pPr>
        <w:widowControl w:val="0"/>
        <w:jc w:val="both"/>
        <w:rPr>
          <w:sz w:val="20"/>
        </w:rPr>
      </w:pPr>
    </w:p>
    <w:p w14:paraId="2A7EE4AF" w14:textId="77777777" w:rsidR="00C628C1" w:rsidRDefault="00C628C1" w:rsidP="00C628C1">
      <w:pPr>
        <w:widowControl w:val="0"/>
        <w:jc w:val="both"/>
        <w:rPr>
          <w:sz w:val="18"/>
        </w:rPr>
      </w:pPr>
    </w:p>
    <w:tbl>
      <w:tblPr>
        <w:tblW w:w="9214" w:type="dxa"/>
        <w:tblInd w:w="-147" w:type="dxa"/>
        <w:tblLayout w:type="fixed"/>
        <w:tblLook w:val="0000" w:firstRow="0" w:lastRow="0" w:firstColumn="0" w:lastColumn="0" w:noHBand="0" w:noVBand="0"/>
      </w:tblPr>
      <w:tblGrid>
        <w:gridCol w:w="539"/>
        <w:gridCol w:w="5879"/>
        <w:gridCol w:w="839"/>
        <w:gridCol w:w="978"/>
        <w:gridCol w:w="979"/>
      </w:tblGrid>
      <w:tr w:rsidR="00C628C1" w14:paraId="0F27509E" w14:textId="77777777" w:rsidTr="006F7483">
        <w:trPr>
          <w:cantSplit/>
          <w:trHeight w:val="636"/>
        </w:trPr>
        <w:tc>
          <w:tcPr>
            <w:tcW w:w="539" w:type="dxa"/>
            <w:vMerge w:val="restart"/>
            <w:tcBorders>
              <w:top w:val="single" w:sz="4" w:space="0" w:color="auto"/>
              <w:left w:val="single" w:sz="4" w:space="0" w:color="auto"/>
            </w:tcBorders>
          </w:tcPr>
          <w:p w14:paraId="6117D5A7" w14:textId="77777777" w:rsidR="00C628C1" w:rsidRPr="00FC65E7" w:rsidRDefault="00C628C1" w:rsidP="004F0DB1">
            <w:pPr>
              <w:pStyle w:val="BodyText"/>
              <w:jc w:val="left"/>
              <w:rPr>
                <w:sz w:val="18"/>
                <w:lang w:val="en-US"/>
              </w:rPr>
            </w:pPr>
          </w:p>
        </w:tc>
        <w:tc>
          <w:tcPr>
            <w:tcW w:w="5879" w:type="dxa"/>
            <w:vMerge w:val="restart"/>
            <w:tcBorders>
              <w:top w:val="single" w:sz="4" w:space="0" w:color="auto"/>
              <w:right w:val="single" w:sz="4" w:space="0" w:color="auto"/>
            </w:tcBorders>
          </w:tcPr>
          <w:p w14:paraId="6A6C5DD4" w14:textId="77777777" w:rsidR="00C628C1" w:rsidRDefault="00C628C1" w:rsidP="006F7483">
            <w:pPr>
              <w:pStyle w:val="BodyText"/>
              <w:jc w:val="center"/>
              <w:rPr>
                <w:b/>
                <w:sz w:val="18"/>
              </w:rPr>
            </w:pPr>
            <w:r w:rsidRPr="00FD580B">
              <w:rPr>
                <w:b/>
                <w:sz w:val="20"/>
              </w:rPr>
              <w:t>Resolutions</w:t>
            </w:r>
          </w:p>
        </w:tc>
        <w:tc>
          <w:tcPr>
            <w:tcW w:w="2796" w:type="dxa"/>
            <w:gridSpan w:val="3"/>
            <w:tcBorders>
              <w:top w:val="single" w:sz="6" w:space="0" w:color="auto"/>
              <w:left w:val="single" w:sz="4" w:space="0" w:color="auto"/>
              <w:bottom w:val="single" w:sz="4" w:space="0" w:color="auto"/>
              <w:right w:val="single" w:sz="6" w:space="0" w:color="auto"/>
            </w:tcBorders>
          </w:tcPr>
          <w:p w14:paraId="5A587903" w14:textId="77777777" w:rsidR="00C628C1" w:rsidRDefault="00C628C1" w:rsidP="006F7483">
            <w:pPr>
              <w:pStyle w:val="BodyText"/>
              <w:jc w:val="center"/>
              <w:rPr>
                <w:b/>
                <w:sz w:val="18"/>
              </w:rPr>
            </w:pPr>
            <w:r w:rsidRPr="00FD580B">
              <w:rPr>
                <w:b/>
                <w:sz w:val="20"/>
              </w:rPr>
              <w:t>Your vote</w:t>
            </w:r>
          </w:p>
        </w:tc>
      </w:tr>
      <w:tr w:rsidR="00C628C1" w14:paraId="2255B0DB" w14:textId="77777777" w:rsidTr="008E55F8">
        <w:trPr>
          <w:cantSplit/>
          <w:trHeight w:val="241"/>
        </w:trPr>
        <w:tc>
          <w:tcPr>
            <w:tcW w:w="539" w:type="dxa"/>
            <w:vMerge/>
            <w:tcBorders>
              <w:left w:val="single" w:sz="4" w:space="0" w:color="auto"/>
              <w:bottom w:val="single" w:sz="4" w:space="0" w:color="auto"/>
            </w:tcBorders>
          </w:tcPr>
          <w:p w14:paraId="724C7FC8" w14:textId="77777777" w:rsidR="00C628C1" w:rsidRPr="00FC65E7" w:rsidRDefault="00C628C1" w:rsidP="004F0DB1">
            <w:pPr>
              <w:pStyle w:val="BodyText"/>
              <w:jc w:val="left"/>
              <w:rPr>
                <w:sz w:val="18"/>
                <w:lang w:val="en-US"/>
              </w:rPr>
            </w:pPr>
          </w:p>
        </w:tc>
        <w:tc>
          <w:tcPr>
            <w:tcW w:w="5879" w:type="dxa"/>
            <w:vMerge/>
            <w:tcBorders>
              <w:bottom w:val="single" w:sz="4" w:space="0" w:color="auto"/>
              <w:right w:val="single" w:sz="4" w:space="0" w:color="auto"/>
            </w:tcBorders>
          </w:tcPr>
          <w:p w14:paraId="7BCF194F" w14:textId="77777777" w:rsidR="00C628C1" w:rsidRDefault="00C628C1" w:rsidP="006F7483">
            <w:pPr>
              <w:pStyle w:val="BodyText"/>
              <w:jc w:val="center"/>
              <w:rPr>
                <w:b/>
                <w:sz w:val="18"/>
              </w:rPr>
            </w:pPr>
          </w:p>
        </w:tc>
        <w:tc>
          <w:tcPr>
            <w:tcW w:w="839" w:type="dxa"/>
            <w:tcBorders>
              <w:top w:val="single" w:sz="4" w:space="0" w:color="auto"/>
              <w:left w:val="single" w:sz="4" w:space="0" w:color="auto"/>
              <w:bottom w:val="single" w:sz="4" w:space="0" w:color="auto"/>
              <w:right w:val="single" w:sz="6" w:space="0" w:color="auto"/>
            </w:tcBorders>
            <w:vAlign w:val="center"/>
          </w:tcPr>
          <w:p w14:paraId="530ADD11" w14:textId="77777777" w:rsidR="00C628C1" w:rsidRPr="00FD580B" w:rsidRDefault="00C628C1" w:rsidP="006F7483">
            <w:pPr>
              <w:pStyle w:val="BodyText"/>
              <w:jc w:val="center"/>
              <w:rPr>
                <w:b/>
                <w:sz w:val="20"/>
              </w:rPr>
            </w:pPr>
            <w:r w:rsidRPr="00FD580B">
              <w:rPr>
                <w:b/>
                <w:sz w:val="20"/>
              </w:rPr>
              <w:t>For</w:t>
            </w:r>
          </w:p>
        </w:tc>
        <w:tc>
          <w:tcPr>
            <w:tcW w:w="978" w:type="dxa"/>
            <w:tcBorders>
              <w:top w:val="single" w:sz="4" w:space="0" w:color="auto"/>
              <w:left w:val="nil"/>
              <w:bottom w:val="single" w:sz="4" w:space="0" w:color="auto"/>
              <w:right w:val="single" w:sz="6" w:space="0" w:color="auto"/>
            </w:tcBorders>
            <w:vAlign w:val="center"/>
          </w:tcPr>
          <w:p w14:paraId="62CFA845" w14:textId="77777777" w:rsidR="00C628C1" w:rsidRPr="00FD580B" w:rsidRDefault="00C628C1" w:rsidP="006F7483">
            <w:pPr>
              <w:pStyle w:val="BodyText"/>
              <w:jc w:val="center"/>
              <w:rPr>
                <w:b/>
                <w:sz w:val="20"/>
              </w:rPr>
            </w:pPr>
            <w:r w:rsidRPr="00FD580B">
              <w:rPr>
                <w:b/>
                <w:sz w:val="20"/>
              </w:rPr>
              <w:t>Against</w:t>
            </w:r>
          </w:p>
        </w:tc>
        <w:tc>
          <w:tcPr>
            <w:tcW w:w="979" w:type="dxa"/>
            <w:tcBorders>
              <w:top w:val="single" w:sz="4" w:space="0" w:color="auto"/>
              <w:left w:val="nil"/>
              <w:bottom w:val="single" w:sz="6" w:space="0" w:color="auto"/>
              <w:right w:val="single" w:sz="6" w:space="0" w:color="auto"/>
            </w:tcBorders>
            <w:vAlign w:val="center"/>
          </w:tcPr>
          <w:p w14:paraId="537749C3" w14:textId="77777777" w:rsidR="00C628C1" w:rsidRPr="00FD580B" w:rsidRDefault="00C628C1" w:rsidP="006F7483">
            <w:pPr>
              <w:pStyle w:val="BodyText"/>
              <w:jc w:val="center"/>
              <w:rPr>
                <w:b/>
                <w:sz w:val="20"/>
              </w:rPr>
            </w:pPr>
            <w:r w:rsidRPr="00FD580B">
              <w:rPr>
                <w:b/>
                <w:sz w:val="20"/>
              </w:rPr>
              <w:t>Abstain</w:t>
            </w:r>
          </w:p>
        </w:tc>
      </w:tr>
      <w:tr w:rsidR="0094632C" w14:paraId="120E6C23" w14:textId="77777777" w:rsidTr="008E55F8">
        <w:trPr>
          <w:cantSplit/>
          <w:trHeight w:val="357"/>
        </w:trPr>
        <w:tc>
          <w:tcPr>
            <w:tcW w:w="539" w:type="dxa"/>
            <w:tcBorders>
              <w:top w:val="single" w:sz="4" w:space="0" w:color="auto"/>
              <w:left w:val="single" w:sz="6" w:space="0" w:color="auto"/>
              <w:bottom w:val="single" w:sz="6" w:space="0" w:color="auto"/>
              <w:right w:val="nil"/>
            </w:tcBorders>
            <w:vAlign w:val="center"/>
          </w:tcPr>
          <w:p w14:paraId="4C6E946E" w14:textId="77777777" w:rsidR="0094632C" w:rsidRPr="0007098C" w:rsidRDefault="0094632C" w:rsidP="004F0DB1">
            <w:pPr>
              <w:pStyle w:val="BodyText"/>
              <w:numPr>
                <w:ilvl w:val="0"/>
                <w:numId w:val="4"/>
              </w:numPr>
              <w:tabs>
                <w:tab w:val="right" w:pos="0"/>
                <w:tab w:val="right" w:pos="230"/>
              </w:tabs>
              <w:ind w:left="0" w:firstLine="0"/>
              <w:jc w:val="left"/>
              <w:rPr>
                <w:sz w:val="20"/>
              </w:rPr>
            </w:pPr>
          </w:p>
        </w:tc>
        <w:tc>
          <w:tcPr>
            <w:tcW w:w="5879" w:type="dxa"/>
            <w:tcBorders>
              <w:top w:val="single" w:sz="4" w:space="0" w:color="auto"/>
              <w:left w:val="nil"/>
              <w:bottom w:val="single" w:sz="6" w:space="0" w:color="auto"/>
              <w:right w:val="single" w:sz="4" w:space="0" w:color="auto"/>
            </w:tcBorders>
            <w:vAlign w:val="center"/>
          </w:tcPr>
          <w:p w14:paraId="494115C1" w14:textId="53CCCFCB" w:rsidR="0094632C" w:rsidRPr="0007098C" w:rsidRDefault="0094632C" w:rsidP="005E110A">
            <w:pPr>
              <w:pStyle w:val="BodyText"/>
              <w:rPr>
                <w:sz w:val="20"/>
                <w:szCs w:val="18"/>
                <w:highlight w:val="yellow"/>
                <w:lang w:val="en-US"/>
              </w:rPr>
            </w:pPr>
            <w:r w:rsidRPr="0007098C">
              <w:rPr>
                <w:color w:val="000000"/>
                <w:sz w:val="20"/>
                <w:szCs w:val="18"/>
                <w:lang w:bidi="he-IL"/>
              </w:rPr>
              <w:t xml:space="preserve">To re-elect Timothy Grainger Weller as </w:t>
            </w:r>
            <w:bookmarkStart w:id="1" w:name="OLE_LINK2"/>
            <w:bookmarkStart w:id="2" w:name="OLE_LINK33"/>
            <w:r w:rsidR="005E110A" w:rsidRPr="00CD23BD">
              <w:rPr>
                <w:color w:val="000000"/>
                <w:sz w:val="20"/>
                <w:szCs w:val="18"/>
                <w:lang w:bidi="he-IL"/>
              </w:rPr>
              <w:t>an independent non-executive</w:t>
            </w:r>
            <w:bookmarkEnd w:id="1"/>
            <w:r w:rsidRPr="0007098C">
              <w:rPr>
                <w:color w:val="000000"/>
                <w:sz w:val="20"/>
                <w:szCs w:val="18"/>
                <w:lang w:bidi="he-IL"/>
              </w:rPr>
              <w:t xml:space="preserve"> </w:t>
            </w:r>
            <w:bookmarkEnd w:id="2"/>
            <w:r>
              <w:rPr>
                <w:color w:val="000000"/>
                <w:sz w:val="20"/>
                <w:szCs w:val="18"/>
                <w:lang w:bidi="he-IL"/>
              </w:rPr>
              <w:t>d</w:t>
            </w:r>
            <w:r w:rsidRPr="0007098C">
              <w:rPr>
                <w:color w:val="000000"/>
                <w:sz w:val="20"/>
                <w:szCs w:val="18"/>
                <w:lang w:bidi="he-IL"/>
              </w:rPr>
              <w:t>irector.</w:t>
            </w:r>
          </w:p>
        </w:tc>
        <w:tc>
          <w:tcPr>
            <w:tcW w:w="839" w:type="dxa"/>
            <w:tcBorders>
              <w:top w:val="single" w:sz="4" w:space="0" w:color="auto"/>
              <w:left w:val="single" w:sz="4" w:space="0" w:color="auto"/>
              <w:bottom w:val="single" w:sz="4" w:space="0" w:color="auto"/>
              <w:right w:val="single" w:sz="4" w:space="0" w:color="auto"/>
            </w:tcBorders>
          </w:tcPr>
          <w:p w14:paraId="60EC6620" w14:textId="77777777" w:rsidR="0094632C" w:rsidRDefault="0094632C" w:rsidP="006F7483">
            <w:pPr>
              <w:pStyle w:val="BodyText"/>
              <w:jc w:val="center"/>
              <w:rPr>
                <w:b/>
                <w:sz w:val="18"/>
              </w:rPr>
            </w:pPr>
          </w:p>
        </w:tc>
        <w:tc>
          <w:tcPr>
            <w:tcW w:w="978" w:type="dxa"/>
            <w:tcBorders>
              <w:top w:val="single" w:sz="4" w:space="0" w:color="auto"/>
              <w:left w:val="single" w:sz="4" w:space="0" w:color="auto"/>
              <w:bottom w:val="single" w:sz="4" w:space="0" w:color="auto"/>
              <w:right w:val="single" w:sz="4" w:space="0" w:color="auto"/>
            </w:tcBorders>
          </w:tcPr>
          <w:p w14:paraId="6816D1BC" w14:textId="77777777" w:rsidR="0094632C" w:rsidRDefault="0094632C" w:rsidP="006F7483">
            <w:pPr>
              <w:pStyle w:val="BodyText"/>
              <w:jc w:val="center"/>
              <w:rPr>
                <w:b/>
                <w:sz w:val="18"/>
              </w:rPr>
            </w:pPr>
          </w:p>
        </w:tc>
        <w:tc>
          <w:tcPr>
            <w:tcW w:w="979" w:type="dxa"/>
            <w:tcBorders>
              <w:top w:val="single" w:sz="6" w:space="0" w:color="auto"/>
              <w:left w:val="single" w:sz="4" w:space="0" w:color="auto"/>
              <w:bottom w:val="single" w:sz="6" w:space="0" w:color="auto"/>
              <w:right w:val="single" w:sz="6" w:space="0" w:color="auto"/>
            </w:tcBorders>
          </w:tcPr>
          <w:p w14:paraId="4E78F9A7" w14:textId="77777777" w:rsidR="0094632C" w:rsidRDefault="0094632C" w:rsidP="006F7483">
            <w:pPr>
              <w:pStyle w:val="BodyText"/>
              <w:jc w:val="center"/>
              <w:rPr>
                <w:b/>
                <w:sz w:val="18"/>
              </w:rPr>
            </w:pPr>
          </w:p>
        </w:tc>
      </w:tr>
      <w:tr w:rsidR="0094632C" w14:paraId="4BB7B096" w14:textId="77777777" w:rsidTr="008E55F8">
        <w:trPr>
          <w:cantSplit/>
          <w:trHeight w:val="357"/>
        </w:trPr>
        <w:tc>
          <w:tcPr>
            <w:tcW w:w="539" w:type="dxa"/>
            <w:tcBorders>
              <w:top w:val="single" w:sz="6" w:space="0" w:color="auto"/>
              <w:left w:val="single" w:sz="6" w:space="0" w:color="auto"/>
              <w:bottom w:val="single" w:sz="6" w:space="0" w:color="auto"/>
              <w:right w:val="nil"/>
            </w:tcBorders>
            <w:vAlign w:val="center"/>
          </w:tcPr>
          <w:p w14:paraId="4E5746D7" w14:textId="77777777" w:rsidR="0094632C" w:rsidRPr="0007098C" w:rsidRDefault="0094632C" w:rsidP="004F0DB1">
            <w:pPr>
              <w:pStyle w:val="BodyText"/>
              <w:numPr>
                <w:ilvl w:val="0"/>
                <w:numId w:val="4"/>
              </w:numPr>
              <w:tabs>
                <w:tab w:val="right" w:pos="0"/>
                <w:tab w:val="right" w:pos="230"/>
              </w:tabs>
              <w:ind w:left="0" w:firstLine="0"/>
              <w:jc w:val="left"/>
              <w:rPr>
                <w:sz w:val="20"/>
              </w:rPr>
            </w:pPr>
          </w:p>
        </w:tc>
        <w:tc>
          <w:tcPr>
            <w:tcW w:w="5879" w:type="dxa"/>
            <w:tcBorders>
              <w:top w:val="single" w:sz="6" w:space="0" w:color="auto"/>
              <w:left w:val="nil"/>
              <w:bottom w:val="single" w:sz="6" w:space="0" w:color="auto"/>
              <w:right w:val="single" w:sz="4" w:space="0" w:color="auto"/>
            </w:tcBorders>
            <w:vAlign w:val="center"/>
          </w:tcPr>
          <w:p w14:paraId="054594EE" w14:textId="781F7727" w:rsidR="0094632C" w:rsidRPr="0007098C" w:rsidRDefault="0094632C" w:rsidP="006F4E58">
            <w:pPr>
              <w:jc w:val="both"/>
              <w:rPr>
                <w:color w:val="000000"/>
                <w:sz w:val="20"/>
                <w:szCs w:val="18"/>
                <w:lang w:bidi="he-IL"/>
              </w:rPr>
            </w:pPr>
            <w:r w:rsidRPr="0007098C">
              <w:rPr>
                <w:color w:val="000000"/>
                <w:sz w:val="20"/>
                <w:szCs w:val="18"/>
                <w:lang w:bidi="he-IL"/>
              </w:rPr>
              <w:t xml:space="preserve">To re-elect </w:t>
            </w:r>
            <w:proofErr w:type="spellStart"/>
            <w:r w:rsidR="006F4E58">
              <w:rPr>
                <w:color w:val="000000"/>
                <w:sz w:val="20"/>
                <w:szCs w:val="18"/>
                <w:lang w:bidi="he-IL"/>
              </w:rPr>
              <w:t>Ofer</w:t>
            </w:r>
            <w:proofErr w:type="spellEnd"/>
            <w:r w:rsidR="006F4E58">
              <w:rPr>
                <w:color w:val="000000"/>
                <w:sz w:val="20"/>
                <w:szCs w:val="18"/>
                <w:lang w:bidi="he-IL"/>
              </w:rPr>
              <w:t xml:space="preserve"> </w:t>
            </w:r>
            <w:proofErr w:type="spellStart"/>
            <w:r w:rsidR="006F4E58">
              <w:rPr>
                <w:color w:val="000000"/>
                <w:sz w:val="20"/>
                <w:szCs w:val="18"/>
                <w:lang w:bidi="he-IL"/>
              </w:rPr>
              <w:t>Druker</w:t>
            </w:r>
            <w:proofErr w:type="spellEnd"/>
            <w:r>
              <w:rPr>
                <w:color w:val="000000"/>
                <w:sz w:val="20"/>
                <w:szCs w:val="18"/>
                <w:lang w:bidi="he-IL"/>
              </w:rPr>
              <w:t xml:space="preserve"> as a di</w:t>
            </w:r>
            <w:r w:rsidRPr="0007098C">
              <w:rPr>
                <w:color w:val="000000"/>
                <w:sz w:val="20"/>
                <w:szCs w:val="18"/>
                <w:lang w:bidi="he-IL"/>
              </w:rPr>
              <w:t>rector.</w:t>
            </w:r>
          </w:p>
        </w:tc>
        <w:tc>
          <w:tcPr>
            <w:tcW w:w="839" w:type="dxa"/>
            <w:tcBorders>
              <w:top w:val="single" w:sz="4" w:space="0" w:color="auto"/>
              <w:left w:val="single" w:sz="4" w:space="0" w:color="auto"/>
              <w:bottom w:val="single" w:sz="4" w:space="0" w:color="auto"/>
              <w:right w:val="single" w:sz="4" w:space="0" w:color="auto"/>
            </w:tcBorders>
          </w:tcPr>
          <w:p w14:paraId="596F1460" w14:textId="77777777" w:rsidR="0094632C" w:rsidRDefault="0094632C" w:rsidP="006F7483">
            <w:pPr>
              <w:pStyle w:val="BodyText"/>
              <w:jc w:val="center"/>
              <w:rPr>
                <w:b/>
                <w:sz w:val="18"/>
              </w:rPr>
            </w:pPr>
          </w:p>
        </w:tc>
        <w:tc>
          <w:tcPr>
            <w:tcW w:w="978" w:type="dxa"/>
            <w:tcBorders>
              <w:top w:val="single" w:sz="4" w:space="0" w:color="auto"/>
              <w:left w:val="single" w:sz="4" w:space="0" w:color="auto"/>
              <w:bottom w:val="single" w:sz="4" w:space="0" w:color="auto"/>
              <w:right w:val="single" w:sz="4" w:space="0" w:color="auto"/>
            </w:tcBorders>
          </w:tcPr>
          <w:p w14:paraId="156D7D45" w14:textId="77777777" w:rsidR="0094632C" w:rsidRDefault="0094632C" w:rsidP="006F7483">
            <w:pPr>
              <w:pStyle w:val="BodyText"/>
              <w:jc w:val="center"/>
              <w:rPr>
                <w:b/>
                <w:sz w:val="18"/>
              </w:rPr>
            </w:pPr>
          </w:p>
        </w:tc>
        <w:tc>
          <w:tcPr>
            <w:tcW w:w="979" w:type="dxa"/>
            <w:tcBorders>
              <w:top w:val="single" w:sz="6" w:space="0" w:color="auto"/>
              <w:left w:val="single" w:sz="4" w:space="0" w:color="auto"/>
              <w:bottom w:val="single" w:sz="6" w:space="0" w:color="auto"/>
              <w:right w:val="single" w:sz="6" w:space="0" w:color="auto"/>
            </w:tcBorders>
          </w:tcPr>
          <w:p w14:paraId="246B841A" w14:textId="77777777" w:rsidR="0094632C" w:rsidRDefault="0094632C" w:rsidP="006F7483">
            <w:pPr>
              <w:pStyle w:val="BodyText"/>
              <w:jc w:val="center"/>
              <w:rPr>
                <w:b/>
                <w:sz w:val="18"/>
              </w:rPr>
            </w:pPr>
          </w:p>
        </w:tc>
      </w:tr>
      <w:tr w:rsidR="0094632C" w14:paraId="5470D4D0" w14:textId="77777777" w:rsidTr="008E55F8">
        <w:trPr>
          <w:cantSplit/>
          <w:trHeight w:val="357"/>
        </w:trPr>
        <w:tc>
          <w:tcPr>
            <w:tcW w:w="539" w:type="dxa"/>
            <w:tcBorders>
              <w:top w:val="single" w:sz="6" w:space="0" w:color="auto"/>
              <w:left w:val="single" w:sz="6" w:space="0" w:color="auto"/>
              <w:bottom w:val="single" w:sz="6" w:space="0" w:color="auto"/>
              <w:right w:val="nil"/>
            </w:tcBorders>
            <w:vAlign w:val="center"/>
          </w:tcPr>
          <w:p w14:paraId="60FE4DD8" w14:textId="77777777" w:rsidR="0094632C" w:rsidRPr="0007098C" w:rsidRDefault="0094632C" w:rsidP="004F0DB1">
            <w:pPr>
              <w:pStyle w:val="BodyText"/>
              <w:numPr>
                <w:ilvl w:val="0"/>
                <w:numId w:val="4"/>
              </w:numPr>
              <w:tabs>
                <w:tab w:val="right" w:pos="0"/>
                <w:tab w:val="right" w:pos="230"/>
              </w:tabs>
              <w:ind w:left="0" w:firstLine="0"/>
              <w:jc w:val="left"/>
              <w:rPr>
                <w:sz w:val="20"/>
              </w:rPr>
            </w:pPr>
          </w:p>
        </w:tc>
        <w:tc>
          <w:tcPr>
            <w:tcW w:w="5879" w:type="dxa"/>
            <w:tcBorders>
              <w:top w:val="single" w:sz="6" w:space="0" w:color="auto"/>
              <w:left w:val="nil"/>
              <w:bottom w:val="single" w:sz="6" w:space="0" w:color="auto"/>
              <w:right w:val="single" w:sz="4" w:space="0" w:color="auto"/>
            </w:tcBorders>
            <w:vAlign w:val="center"/>
          </w:tcPr>
          <w:p w14:paraId="16FD5221" w14:textId="1D1393FE" w:rsidR="0094632C" w:rsidRPr="0007098C" w:rsidRDefault="0094632C" w:rsidP="00BE5A01">
            <w:pPr>
              <w:pStyle w:val="BodyText"/>
              <w:rPr>
                <w:sz w:val="20"/>
                <w:szCs w:val="18"/>
                <w:highlight w:val="yellow"/>
              </w:rPr>
            </w:pPr>
            <w:r w:rsidRPr="0007098C">
              <w:rPr>
                <w:color w:val="000000"/>
                <w:sz w:val="20"/>
                <w:szCs w:val="18"/>
                <w:lang w:bidi="he-IL"/>
              </w:rPr>
              <w:t xml:space="preserve">To re-elect Yaniv Carmi as a </w:t>
            </w:r>
            <w:r>
              <w:rPr>
                <w:color w:val="000000"/>
                <w:sz w:val="20"/>
                <w:szCs w:val="18"/>
                <w:lang w:bidi="he-IL"/>
              </w:rPr>
              <w:t>d</w:t>
            </w:r>
            <w:r w:rsidRPr="0007098C">
              <w:rPr>
                <w:color w:val="000000"/>
                <w:sz w:val="20"/>
                <w:szCs w:val="18"/>
                <w:lang w:bidi="he-IL"/>
              </w:rPr>
              <w:t>irector.</w:t>
            </w:r>
            <w:r w:rsidRPr="0007098C">
              <w:rPr>
                <w:sz w:val="20"/>
                <w:szCs w:val="18"/>
                <w:highlight w:val="yellow"/>
              </w:rPr>
              <w:t xml:space="preserve"> </w:t>
            </w:r>
          </w:p>
        </w:tc>
        <w:tc>
          <w:tcPr>
            <w:tcW w:w="839" w:type="dxa"/>
            <w:tcBorders>
              <w:top w:val="single" w:sz="4" w:space="0" w:color="auto"/>
              <w:left w:val="single" w:sz="4" w:space="0" w:color="auto"/>
              <w:bottom w:val="single" w:sz="4" w:space="0" w:color="auto"/>
              <w:right w:val="single" w:sz="4" w:space="0" w:color="auto"/>
            </w:tcBorders>
          </w:tcPr>
          <w:p w14:paraId="0F447CBB" w14:textId="77777777" w:rsidR="0094632C" w:rsidRDefault="0094632C" w:rsidP="006F7483">
            <w:pPr>
              <w:pStyle w:val="BodyText"/>
              <w:jc w:val="center"/>
              <w:rPr>
                <w:b/>
                <w:sz w:val="18"/>
              </w:rPr>
            </w:pPr>
          </w:p>
        </w:tc>
        <w:tc>
          <w:tcPr>
            <w:tcW w:w="978" w:type="dxa"/>
            <w:tcBorders>
              <w:top w:val="single" w:sz="4" w:space="0" w:color="auto"/>
              <w:left w:val="single" w:sz="4" w:space="0" w:color="auto"/>
              <w:bottom w:val="single" w:sz="4" w:space="0" w:color="auto"/>
              <w:right w:val="single" w:sz="4" w:space="0" w:color="auto"/>
            </w:tcBorders>
          </w:tcPr>
          <w:p w14:paraId="5171C303" w14:textId="77777777" w:rsidR="0094632C" w:rsidRDefault="0094632C" w:rsidP="006F7483">
            <w:pPr>
              <w:pStyle w:val="BodyText"/>
              <w:jc w:val="center"/>
              <w:rPr>
                <w:b/>
                <w:sz w:val="18"/>
              </w:rPr>
            </w:pPr>
          </w:p>
        </w:tc>
        <w:tc>
          <w:tcPr>
            <w:tcW w:w="979" w:type="dxa"/>
            <w:tcBorders>
              <w:top w:val="single" w:sz="6" w:space="0" w:color="auto"/>
              <w:left w:val="single" w:sz="4" w:space="0" w:color="auto"/>
              <w:bottom w:val="single" w:sz="6" w:space="0" w:color="auto"/>
              <w:right w:val="single" w:sz="6" w:space="0" w:color="auto"/>
            </w:tcBorders>
          </w:tcPr>
          <w:p w14:paraId="145322F5" w14:textId="77777777" w:rsidR="0094632C" w:rsidRDefault="0094632C" w:rsidP="006F7483">
            <w:pPr>
              <w:pStyle w:val="BodyText"/>
              <w:jc w:val="center"/>
              <w:rPr>
                <w:b/>
                <w:sz w:val="18"/>
              </w:rPr>
            </w:pPr>
          </w:p>
        </w:tc>
      </w:tr>
      <w:tr w:rsidR="0094632C" w14:paraId="178A36AF" w14:textId="77777777" w:rsidTr="00931B9B">
        <w:trPr>
          <w:cantSplit/>
          <w:trHeight w:val="357"/>
        </w:trPr>
        <w:tc>
          <w:tcPr>
            <w:tcW w:w="539" w:type="dxa"/>
            <w:tcBorders>
              <w:top w:val="single" w:sz="6" w:space="0" w:color="auto"/>
              <w:left w:val="single" w:sz="6" w:space="0" w:color="auto"/>
              <w:bottom w:val="single" w:sz="6" w:space="0" w:color="auto"/>
              <w:right w:val="nil"/>
            </w:tcBorders>
          </w:tcPr>
          <w:p w14:paraId="6FAB81BB" w14:textId="77777777" w:rsidR="0094632C" w:rsidRPr="0007098C" w:rsidRDefault="0094632C" w:rsidP="008E55F8">
            <w:pPr>
              <w:pStyle w:val="BodyText"/>
              <w:numPr>
                <w:ilvl w:val="0"/>
                <w:numId w:val="4"/>
              </w:numPr>
              <w:tabs>
                <w:tab w:val="right" w:pos="0"/>
                <w:tab w:val="right" w:pos="230"/>
              </w:tabs>
              <w:ind w:left="0" w:firstLine="0"/>
              <w:jc w:val="left"/>
              <w:rPr>
                <w:sz w:val="20"/>
              </w:rPr>
            </w:pPr>
          </w:p>
        </w:tc>
        <w:tc>
          <w:tcPr>
            <w:tcW w:w="5879" w:type="dxa"/>
            <w:tcBorders>
              <w:top w:val="single" w:sz="6" w:space="0" w:color="auto"/>
              <w:left w:val="nil"/>
              <w:bottom w:val="single" w:sz="6" w:space="0" w:color="auto"/>
              <w:right w:val="single" w:sz="4" w:space="0" w:color="auto"/>
            </w:tcBorders>
          </w:tcPr>
          <w:p w14:paraId="219CCDDC" w14:textId="0EFDA4DB" w:rsidR="0094632C" w:rsidRPr="00A876A5" w:rsidRDefault="0094632C" w:rsidP="00BE5A01">
            <w:pPr>
              <w:pStyle w:val="BodyText"/>
              <w:spacing w:after="120"/>
              <w:rPr>
                <w:bCs/>
                <w:sz w:val="20"/>
                <w:szCs w:val="18"/>
              </w:rPr>
            </w:pPr>
            <w:r w:rsidRPr="00A876A5">
              <w:rPr>
                <w:bCs/>
                <w:sz w:val="20"/>
                <w:szCs w:val="18"/>
              </w:rPr>
              <w:t xml:space="preserve">To re-appoint </w:t>
            </w:r>
            <w:proofErr w:type="spellStart"/>
            <w:r w:rsidRPr="00A876A5">
              <w:rPr>
                <w:bCs/>
                <w:sz w:val="20"/>
                <w:szCs w:val="18"/>
              </w:rPr>
              <w:t>Somekh</w:t>
            </w:r>
            <w:proofErr w:type="spellEnd"/>
            <w:r w:rsidRPr="00A876A5">
              <w:rPr>
                <w:bCs/>
                <w:sz w:val="20"/>
                <w:szCs w:val="18"/>
              </w:rPr>
              <w:t xml:space="preserve"> </w:t>
            </w:r>
            <w:proofErr w:type="spellStart"/>
            <w:r w:rsidRPr="00A876A5">
              <w:rPr>
                <w:bCs/>
                <w:sz w:val="20"/>
                <w:szCs w:val="18"/>
              </w:rPr>
              <w:t>Chaikin</w:t>
            </w:r>
            <w:proofErr w:type="spellEnd"/>
            <w:r w:rsidRPr="00A876A5">
              <w:rPr>
                <w:bCs/>
                <w:sz w:val="20"/>
                <w:szCs w:val="18"/>
              </w:rPr>
              <w:t>, a member firm of KPMG International, as the Company</w:t>
            </w:r>
            <w:r w:rsidRPr="00A876A5">
              <w:rPr>
                <w:rFonts w:hint="cs"/>
                <w:bCs/>
                <w:sz w:val="20"/>
                <w:szCs w:val="18"/>
              </w:rPr>
              <w:t>’</w:t>
            </w:r>
            <w:r w:rsidRPr="00A876A5">
              <w:rPr>
                <w:bCs/>
                <w:sz w:val="20"/>
                <w:szCs w:val="18"/>
              </w:rPr>
              <w:t>s independent external auditor for 201</w:t>
            </w:r>
            <w:r>
              <w:rPr>
                <w:bCs/>
                <w:sz w:val="20"/>
                <w:szCs w:val="18"/>
              </w:rPr>
              <w:t>9</w:t>
            </w:r>
            <w:r w:rsidRPr="00A876A5">
              <w:rPr>
                <w:bCs/>
                <w:sz w:val="20"/>
                <w:szCs w:val="18"/>
              </w:rPr>
              <w:t xml:space="preserve"> and to authori</w:t>
            </w:r>
            <w:r>
              <w:rPr>
                <w:bCs/>
                <w:sz w:val="20"/>
                <w:szCs w:val="18"/>
              </w:rPr>
              <w:t>s</w:t>
            </w:r>
            <w:r w:rsidRPr="00A876A5">
              <w:rPr>
                <w:bCs/>
                <w:sz w:val="20"/>
                <w:szCs w:val="18"/>
              </w:rPr>
              <w:t>e the Company</w:t>
            </w:r>
            <w:r w:rsidRPr="00A876A5">
              <w:rPr>
                <w:rFonts w:hint="cs"/>
                <w:bCs/>
                <w:sz w:val="20"/>
                <w:szCs w:val="18"/>
              </w:rPr>
              <w:t>’</w:t>
            </w:r>
            <w:r w:rsidRPr="00A876A5">
              <w:rPr>
                <w:bCs/>
                <w:sz w:val="20"/>
                <w:szCs w:val="18"/>
              </w:rPr>
              <w:t>s Board of Directors (or, the Audit Committee, if authori</w:t>
            </w:r>
            <w:r>
              <w:rPr>
                <w:bCs/>
                <w:sz w:val="20"/>
                <w:szCs w:val="18"/>
              </w:rPr>
              <w:t>s</w:t>
            </w:r>
            <w:r w:rsidRPr="00A876A5">
              <w:rPr>
                <w:bCs/>
                <w:sz w:val="20"/>
                <w:szCs w:val="18"/>
              </w:rPr>
              <w:t>ed by the Boa</w:t>
            </w:r>
            <w:bookmarkStart w:id="3" w:name="_GoBack"/>
            <w:bookmarkEnd w:id="3"/>
            <w:r w:rsidRPr="00A876A5">
              <w:rPr>
                <w:bCs/>
                <w:sz w:val="20"/>
                <w:szCs w:val="18"/>
              </w:rPr>
              <w:t>rd of Directors) to fix their remuneration.</w:t>
            </w:r>
          </w:p>
        </w:tc>
        <w:tc>
          <w:tcPr>
            <w:tcW w:w="839" w:type="dxa"/>
            <w:tcBorders>
              <w:top w:val="single" w:sz="4" w:space="0" w:color="auto"/>
              <w:left w:val="single" w:sz="4" w:space="0" w:color="auto"/>
              <w:bottom w:val="single" w:sz="4" w:space="0" w:color="auto"/>
              <w:right w:val="single" w:sz="4" w:space="0" w:color="auto"/>
            </w:tcBorders>
          </w:tcPr>
          <w:p w14:paraId="17922C31" w14:textId="77777777" w:rsidR="0094632C" w:rsidRDefault="0094632C" w:rsidP="008E55F8">
            <w:pPr>
              <w:pStyle w:val="BodyText"/>
              <w:jc w:val="left"/>
              <w:rPr>
                <w:b/>
                <w:sz w:val="18"/>
              </w:rPr>
            </w:pPr>
          </w:p>
        </w:tc>
        <w:tc>
          <w:tcPr>
            <w:tcW w:w="978" w:type="dxa"/>
            <w:tcBorders>
              <w:top w:val="single" w:sz="4" w:space="0" w:color="auto"/>
              <w:left w:val="single" w:sz="4" w:space="0" w:color="auto"/>
              <w:bottom w:val="single" w:sz="4" w:space="0" w:color="auto"/>
              <w:right w:val="single" w:sz="4" w:space="0" w:color="auto"/>
            </w:tcBorders>
          </w:tcPr>
          <w:p w14:paraId="5DB62146" w14:textId="77777777" w:rsidR="0094632C" w:rsidRDefault="0094632C" w:rsidP="008E55F8">
            <w:pPr>
              <w:pStyle w:val="BodyText"/>
              <w:jc w:val="left"/>
              <w:rPr>
                <w:b/>
                <w:sz w:val="18"/>
              </w:rPr>
            </w:pPr>
          </w:p>
        </w:tc>
        <w:tc>
          <w:tcPr>
            <w:tcW w:w="979" w:type="dxa"/>
            <w:tcBorders>
              <w:top w:val="single" w:sz="6" w:space="0" w:color="auto"/>
              <w:left w:val="single" w:sz="4" w:space="0" w:color="auto"/>
              <w:bottom w:val="single" w:sz="6" w:space="0" w:color="auto"/>
              <w:right w:val="single" w:sz="6" w:space="0" w:color="auto"/>
            </w:tcBorders>
          </w:tcPr>
          <w:p w14:paraId="2F277397" w14:textId="77777777" w:rsidR="0094632C" w:rsidRDefault="0094632C" w:rsidP="008E55F8">
            <w:pPr>
              <w:pStyle w:val="BodyText"/>
              <w:jc w:val="left"/>
              <w:rPr>
                <w:b/>
                <w:sz w:val="18"/>
              </w:rPr>
            </w:pPr>
          </w:p>
        </w:tc>
      </w:tr>
      <w:tr w:rsidR="0094632C" w14:paraId="1A43BBED" w14:textId="77777777" w:rsidTr="00931B9B">
        <w:trPr>
          <w:cantSplit/>
          <w:trHeight w:val="357"/>
        </w:trPr>
        <w:tc>
          <w:tcPr>
            <w:tcW w:w="539" w:type="dxa"/>
            <w:tcBorders>
              <w:top w:val="single" w:sz="6" w:space="0" w:color="auto"/>
              <w:left w:val="single" w:sz="6" w:space="0" w:color="auto"/>
              <w:bottom w:val="single" w:sz="6" w:space="0" w:color="auto"/>
              <w:right w:val="nil"/>
            </w:tcBorders>
          </w:tcPr>
          <w:p w14:paraId="2C608E59" w14:textId="77777777" w:rsidR="0094632C" w:rsidRPr="0007098C" w:rsidRDefault="0094632C" w:rsidP="008E55F8">
            <w:pPr>
              <w:pStyle w:val="BodyText"/>
              <w:numPr>
                <w:ilvl w:val="0"/>
                <w:numId w:val="4"/>
              </w:numPr>
              <w:tabs>
                <w:tab w:val="right" w:pos="0"/>
                <w:tab w:val="right" w:pos="230"/>
              </w:tabs>
              <w:ind w:left="0" w:firstLine="0"/>
              <w:jc w:val="left"/>
              <w:rPr>
                <w:sz w:val="20"/>
              </w:rPr>
            </w:pPr>
          </w:p>
        </w:tc>
        <w:tc>
          <w:tcPr>
            <w:tcW w:w="5879" w:type="dxa"/>
            <w:tcBorders>
              <w:top w:val="single" w:sz="6" w:space="0" w:color="auto"/>
              <w:left w:val="nil"/>
              <w:bottom w:val="single" w:sz="6" w:space="0" w:color="auto"/>
              <w:right w:val="single" w:sz="4" w:space="0" w:color="auto"/>
            </w:tcBorders>
          </w:tcPr>
          <w:p w14:paraId="0F41BDB5" w14:textId="2277BE73" w:rsidR="0094632C" w:rsidRPr="00A876A5" w:rsidRDefault="0094632C" w:rsidP="00BE5A01">
            <w:pPr>
              <w:pStyle w:val="BodyText"/>
              <w:spacing w:after="120"/>
              <w:rPr>
                <w:bCs/>
                <w:sz w:val="20"/>
                <w:szCs w:val="18"/>
              </w:rPr>
            </w:pPr>
            <w:r w:rsidRPr="003222D2">
              <w:rPr>
                <w:bCs/>
                <w:sz w:val="20"/>
                <w:szCs w:val="18"/>
              </w:rPr>
              <w:t xml:space="preserve">To approve a change to the Company’s name from </w:t>
            </w:r>
            <w:proofErr w:type="spellStart"/>
            <w:r w:rsidRPr="003222D2">
              <w:rPr>
                <w:bCs/>
                <w:sz w:val="20"/>
                <w:szCs w:val="18"/>
              </w:rPr>
              <w:t>Taptica</w:t>
            </w:r>
            <w:proofErr w:type="spellEnd"/>
            <w:r w:rsidRPr="003222D2">
              <w:rPr>
                <w:bCs/>
                <w:sz w:val="20"/>
                <w:szCs w:val="18"/>
              </w:rPr>
              <w:t xml:space="preserve"> International Ltd. to Tremor International Ltd.</w:t>
            </w:r>
          </w:p>
        </w:tc>
        <w:tc>
          <w:tcPr>
            <w:tcW w:w="839" w:type="dxa"/>
            <w:tcBorders>
              <w:top w:val="single" w:sz="4" w:space="0" w:color="auto"/>
              <w:left w:val="single" w:sz="4" w:space="0" w:color="auto"/>
              <w:bottom w:val="single" w:sz="4" w:space="0" w:color="auto"/>
              <w:right w:val="single" w:sz="4" w:space="0" w:color="auto"/>
            </w:tcBorders>
          </w:tcPr>
          <w:p w14:paraId="68178645" w14:textId="77777777" w:rsidR="0094632C" w:rsidRDefault="0094632C" w:rsidP="008E55F8">
            <w:pPr>
              <w:pStyle w:val="BodyText"/>
              <w:jc w:val="left"/>
              <w:rPr>
                <w:b/>
                <w:sz w:val="18"/>
              </w:rPr>
            </w:pPr>
          </w:p>
        </w:tc>
        <w:tc>
          <w:tcPr>
            <w:tcW w:w="978" w:type="dxa"/>
            <w:tcBorders>
              <w:top w:val="single" w:sz="4" w:space="0" w:color="auto"/>
              <w:left w:val="single" w:sz="4" w:space="0" w:color="auto"/>
              <w:bottom w:val="single" w:sz="4" w:space="0" w:color="auto"/>
              <w:right w:val="single" w:sz="4" w:space="0" w:color="auto"/>
            </w:tcBorders>
          </w:tcPr>
          <w:p w14:paraId="6986E3C6" w14:textId="77777777" w:rsidR="0094632C" w:rsidRDefault="0094632C" w:rsidP="008E55F8">
            <w:pPr>
              <w:pStyle w:val="BodyText"/>
              <w:jc w:val="left"/>
              <w:rPr>
                <w:b/>
                <w:sz w:val="18"/>
              </w:rPr>
            </w:pPr>
          </w:p>
        </w:tc>
        <w:tc>
          <w:tcPr>
            <w:tcW w:w="979" w:type="dxa"/>
            <w:tcBorders>
              <w:top w:val="single" w:sz="6" w:space="0" w:color="auto"/>
              <w:left w:val="single" w:sz="4" w:space="0" w:color="auto"/>
              <w:bottom w:val="single" w:sz="6" w:space="0" w:color="auto"/>
              <w:right w:val="single" w:sz="6" w:space="0" w:color="auto"/>
            </w:tcBorders>
          </w:tcPr>
          <w:p w14:paraId="76DD138B" w14:textId="77777777" w:rsidR="0094632C" w:rsidRDefault="0094632C" w:rsidP="008E55F8">
            <w:pPr>
              <w:pStyle w:val="BodyText"/>
              <w:jc w:val="left"/>
              <w:rPr>
                <w:b/>
                <w:sz w:val="18"/>
              </w:rPr>
            </w:pPr>
          </w:p>
        </w:tc>
      </w:tr>
      <w:tr w:rsidR="0094632C" w14:paraId="6EFB9300" w14:textId="77777777" w:rsidTr="008E55F8">
        <w:trPr>
          <w:cantSplit/>
          <w:trHeight w:val="425"/>
        </w:trPr>
        <w:tc>
          <w:tcPr>
            <w:tcW w:w="539" w:type="dxa"/>
            <w:tcBorders>
              <w:top w:val="single" w:sz="6" w:space="0" w:color="auto"/>
              <w:left w:val="single" w:sz="6" w:space="0" w:color="auto"/>
              <w:bottom w:val="single" w:sz="6" w:space="0" w:color="auto"/>
              <w:right w:val="nil"/>
            </w:tcBorders>
          </w:tcPr>
          <w:p w14:paraId="338D3376" w14:textId="77777777" w:rsidR="0094632C" w:rsidRPr="0007098C" w:rsidRDefault="0094632C" w:rsidP="008D33F0">
            <w:pPr>
              <w:pStyle w:val="BodyText"/>
              <w:numPr>
                <w:ilvl w:val="0"/>
                <w:numId w:val="4"/>
              </w:numPr>
              <w:tabs>
                <w:tab w:val="right" w:pos="0"/>
                <w:tab w:val="right" w:pos="230"/>
              </w:tabs>
              <w:jc w:val="left"/>
              <w:rPr>
                <w:sz w:val="20"/>
              </w:rPr>
            </w:pPr>
          </w:p>
        </w:tc>
        <w:tc>
          <w:tcPr>
            <w:tcW w:w="5879" w:type="dxa"/>
            <w:tcBorders>
              <w:top w:val="single" w:sz="6" w:space="0" w:color="auto"/>
              <w:left w:val="nil"/>
              <w:bottom w:val="single" w:sz="6" w:space="0" w:color="auto"/>
              <w:right w:val="single" w:sz="4" w:space="0" w:color="auto"/>
            </w:tcBorders>
          </w:tcPr>
          <w:p w14:paraId="4AFC10D4" w14:textId="64D95D73" w:rsidR="0094632C" w:rsidRPr="00A876A5" w:rsidRDefault="0094632C" w:rsidP="008D33F0">
            <w:pPr>
              <w:pStyle w:val="BodyText"/>
              <w:spacing w:after="120"/>
              <w:rPr>
                <w:bCs/>
                <w:sz w:val="20"/>
                <w:szCs w:val="18"/>
              </w:rPr>
            </w:pPr>
            <w:bookmarkStart w:id="4" w:name="OLE_LINK23"/>
            <w:r>
              <w:rPr>
                <w:bCs/>
                <w:sz w:val="20"/>
                <w:szCs w:val="18"/>
              </w:rPr>
              <w:t>T</w:t>
            </w:r>
            <w:r w:rsidRPr="003222D2">
              <w:rPr>
                <w:bCs/>
                <w:sz w:val="20"/>
                <w:szCs w:val="18"/>
              </w:rPr>
              <w:t xml:space="preserve">o approve </w:t>
            </w:r>
            <w:bookmarkStart w:id="5" w:name="OLE_LINK129"/>
            <w:r w:rsidRPr="003222D2">
              <w:rPr>
                <w:bCs/>
                <w:sz w:val="20"/>
                <w:szCs w:val="18"/>
              </w:rPr>
              <w:t xml:space="preserve">an increase to the annual salary of </w:t>
            </w:r>
            <w:proofErr w:type="spellStart"/>
            <w:r w:rsidRPr="003222D2">
              <w:rPr>
                <w:bCs/>
                <w:sz w:val="20"/>
                <w:szCs w:val="18"/>
              </w:rPr>
              <w:t>Yaniv</w:t>
            </w:r>
            <w:proofErr w:type="spellEnd"/>
            <w:r w:rsidRPr="003222D2">
              <w:rPr>
                <w:bCs/>
                <w:sz w:val="20"/>
                <w:szCs w:val="18"/>
              </w:rPr>
              <w:t xml:space="preserve"> Carmi, the Company’s Chief </w:t>
            </w:r>
            <w:r w:rsidRPr="00DA0DD2">
              <w:rPr>
                <w:bCs/>
                <w:sz w:val="20"/>
                <w:szCs w:val="18"/>
              </w:rPr>
              <w:t xml:space="preserve">Financial Officer and Director, to </w:t>
            </w:r>
            <w:r w:rsidRPr="00CD23BD">
              <w:rPr>
                <w:bCs/>
                <w:sz w:val="20"/>
                <w:szCs w:val="18"/>
              </w:rPr>
              <w:t>US$</w:t>
            </w:r>
            <w:r w:rsidR="008D33F0" w:rsidRPr="00CD23BD">
              <w:rPr>
                <w:bCs/>
                <w:sz w:val="20"/>
                <w:szCs w:val="18"/>
              </w:rPr>
              <w:t>500,000</w:t>
            </w:r>
            <w:r w:rsidRPr="00CD23BD">
              <w:rPr>
                <w:bCs/>
                <w:sz w:val="20"/>
                <w:szCs w:val="18"/>
              </w:rPr>
              <w:t xml:space="preserve"> per annum with an annual cash bonus of up to </w:t>
            </w:r>
            <w:r w:rsidR="008D33F0" w:rsidRPr="00CD23BD">
              <w:rPr>
                <w:bCs/>
                <w:sz w:val="20"/>
                <w:szCs w:val="18"/>
              </w:rPr>
              <w:t>US$400,000</w:t>
            </w:r>
            <w:bookmarkEnd w:id="4"/>
            <w:r w:rsidRPr="003222D2">
              <w:rPr>
                <w:bCs/>
                <w:sz w:val="20"/>
                <w:szCs w:val="18"/>
              </w:rPr>
              <w:t xml:space="preserve">, </w:t>
            </w:r>
            <w:bookmarkStart w:id="6" w:name="OLE_LINK24"/>
            <w:r w:rsidRPr="003222D2">
              <w:rPr>
                <w:bCs/>
                <w:sz w:val="20"/>
                <w:szCs w:val="18"/>
              </w:rPr>
              <w:t>subject to compliance with performance-based metrics relating to the Company’s earnings per share, cash conversion and total shareholder return as determined by the Remuneration Committee</w:t>
            </w:r>
            <w:bookmarkEnd w:id="6"/>
            <w:r w:rsidRPr="003222D2">
              <w:rPr>
                <w:bCs/>
                <w:sz w:val="20"/>
                <w:szCs w:val="18"/>
              </w:rPr>
              <w:t xml:space="preserve">. </w:t>
            </w:r>
            <w:bookmarkEnd w:id="5"/>
          </w:p>
        </w:tc>
        <w:tc>
          <w:tcPr>
            <w:tcW w:w="839" w:type="dxa"/>
            <w:tcBorders>
              <w:top w:val="single" w:sz="4" w:space="0" w:color="auto"/>
              <w:left w:val="single" w:sz="4" w:space="0" w:color="auto"/>
              <w:bottom w:val="single" w:sz="4" w:space="0" w:color="auto"/>
              <w:right w:val="single" w:sz="4" w:space="0" w:color="auto"/>
            </w:tcBorders>
          </w:tcPr>
          <w:p w14:paraId="431E827C" w14:textId="77777777" w:rsidR="0094632C" w:rsidRDefault="0094632C" w:rsidP="006F7483">
            <w:pPr>
              <w:pStyle w:val="BodyText"/>
              <w:jc w:val="center"/>
              <w:rPr>
                <w:b/>
                <w:sz w:val="18"/>
              </w:rPr>
            </w:pPr>
          </w:p>
        </w:tc>
        <w:tc>
          <w:tcPr>
            <w:tcW w:w="978" w:type="dxa"/>
            <w:tcBorders>
              <w:top w:val="single" w:sz="4" w:space="0" w:color="auto"/>
              <w:left w:val="single" w:sz="4" w:space="0" w:color="auto"/>
              <w:bottom w:val="single" w:sz="4" w:space="0" w:color="auto"/>
              <w:right w:val="single" w:sz="4" w:space="0" w:color="auto"/>
            </w:tcBorders>
          </w:tcPr>
          <w:p w14:paraId="0480B75A" w14:textId="77777777" w:rsidR="0094632C" w:rsidRDefault="0094632C" w:rsidP="006F7483">
            <w:pPr>
              <w:pStyle w:val="BodyText"/>
              <w:jc w:val="center"/>
              <w:rPr>
                <w:b/>
                <w:sz w:val="18"/>
              </w:rPr>
            </w:pPr>
          </w:p>
        </w:tc>
        <w:tc>
          <w:tcPr>
            <w:tcW w:w="979" w:type="dxa"/>
            <w:tcBorders>
              <w:top w:val="single" w:sz="6" w:space="0" w:color="auto"/>
              <w:left w:val="single" w:sz="4" w:space="0" w:color="auto"/>
              <w:bottom w:val="single" w:sz="6" w:space="0" w:color="auto"/>
              <w:right w:val="single" w:sz="6" w:space="0" w:color="auto"/>
            </w:tcBorders>
          </w:tcPr>
          <w:p w14:paraId="5906A52D" w14:textId="77777777" w:rsidR="0094632C" w:rsidRDefault="0094632C" w:rsidP="006F7483">
            <w:pPr>
              <w:pStyle w:val="BodyText"/>
              <w:jc w:val="center"/>
              <w:rPr>
                <w:b/>
                <w:sz w:val="18"/>
              </w:rPr>
            </w:pPr>
          </w:p>
        </w:tc>
      </w:tr>
    </w:tbl>
    <w:p w14:paraId="4443572B" w14:textId="77777777" w:rsidR="00C628C1" w:rsidRDefault="00C628C1" w:rsidP="00C628C1">
      <w:pPr>
        <w:pStyle w:val="BodyText"/>
        <w:tabs>
          <w:tab w:val="left" w:pos="5490"/>
          <w:tab w:val="left" w:pos="6645"/>
        </w:tabs>
        <w:rPr>
          <w:sz w:val="18"/>
        </w:rPr>
      </w:pPr>
    </w:p>
    <w:p w14:paraId="251BF60B" w14:textId="77777777" w:rsidR="00C628C1" w:rsidRDefault="00C628C1" w:rsidP="00C628C1">
      <w:pPr>
        <w:pStyle w:val="BodyText"/>
        <w:tabs>
          <w:tab w:val="left" w:pos="5490"/>
          <w:tab w:val="left" w:pos="6645"/>
        </w:tabs>
        <w:rPr>
          <w:b/>
          <w:sz w:val="18"/>
        </w:rPr>
      </w:pPr>
    </w:p>
    <w:p w14:paraId="2D0098BE" w14:textId="77777777" w:rsidR="00F75695" w:rsidRDefault="00F75695" w:rsidP="00C628C1">
      <w:pPr>
        <w:pStyle w:val="BodyText"/>
        <w:tabs>
          <w:tab w:val="left" w:pos="5490"/>
          <w:tab w:val="left" w:pos="6645"/>
        </w:tabs>
        <w:rPr>
          <w:sz w:val="18"/>
        </w:rPr>
      </w:pPr>
    </w:p>
    <w:p w14:paraId="6367FFC1" w14:textId="5A639E07" w:rsidR="00C628C1" w:rsidRDefault="00C628C1" w:rsidP="0094632C">
      <w:pPr>
        <w:jc w:val="both"/>
        <w:rPr>
          <w:sz w:val="18"/>
        </w:rPr>
      </w:pPr>
      <w:r>
        <w:rPr>
          <w:sz w:val="18"/>
        </w:rPr>
        <w:t>Signature(s</w:t>
      </w:r>
      <w:proofErr w:type="gramStart"/>
      <w:r>
        <w:rPr>
          <w:sz w:val="18"/>
        </w:rPr>
        <w:t>) :</w:t>
      </w:r>
      <w:proofErr w:type="gramEnd"/>
      <w:r>
        <w:rPr>
          <w:sz w:val="18"/>
        </w:rPr>
        <w:t>………………………………………………………………..     Date: …………………………201</w:t>
      </w:r>
      <w:r w:rsidR="0094632C">
        <w:rPr>
          <w:sz w:val="18"/>
        </w:rPr>
        <w:t>9</w:t>
      </w:r>
    </w:p>
    <w:p w14:paraId="27CB814E" w14:textId="77777777" w:rsidR="00605E38" w:rsidRDefault="00605E38" w:rsidP="00605E38">
      <w:pPr>
        <w:jc w:val="both"/>
        <w:rPr>
          <w:b/>
          <w:sz w:val="16"/>
        </w:rPr>
      </w:pPr>
    </w:p>
    <w:p w14:paraId="452C6048" w14:textId="77777777" w:rsidR="009024A9" w:rsidRDefault="009024A9" w:rsidP="00605E38">
      <w:pPr>
        <w:jc w:val="both"/>
        <w:rPr>
          <w:b/>
          <w:sz w:val="16"/>
        </w:rPr>
      </w:pPr>
    </w:p>
    <w:p w14:paraId="2822BA44" w14:textId="740AB8E2" w:rsidR="00605E38" w:rsidRDefault="00605E38" w:rsidP="0094632C">
      <w:pPr>
        <w:overflowPunct/>
        <w:autoSpaceDE/>
        <w:autoSpaceDN/>
        <w:adjustRightInd/>
        <w:textAlignment w:val="auto"/>
        <w:rPr>
          <w:b/>
          <w:sz w:val="16"/>
        </w:rPr>
      </w:pPr>
      <w:r>
        <w:rPr>
          <w:b/>
          <w:sz w:val="16"/>
        </w:rPr>
        <w:t>NOTES:</w:t>
      </w:r>
    </w:p>
    <w:p w14:paraId="0C127A47" w14:textId="70C64C69" w:rsidR="008E55F8" w:rsidRPr="00BA4DE5" w:rsidRDefault="008E55F8" w:rsidP="007E0343">
      <w:pPr>
        <w:overflowPunct/>
        <w:spacing w:after="120"/>
        <w:ind w:left="426"/>
        <w:jc w:val="both"/>
        <w:textAlignment w:val="auto"/>
        <w:rPr>
          <w:rFonts w:asciiTheme="majorBidi" w:hAnsiTheme="majorBidi" w:cstheme="majorBidi"/>
          <w:color w:val="000000"/>
          <w:sz w:val="20"/>
          <w:lang w:bidi="he-IL"/>
        </w:rPr>
      </w:pPr>
    </w:p>
    <w:p w14:paraId="3BE99D6E" w14:textId="2142B6B0" w:rsidR="008E55F8" w:rsidRPr="00B01A81" w:rsidRDefault="008E55F8" w:rsidP="0094632C">
      <w:pPr>
        <w:numPr>
          <w:ilvl w:val="0"/>
          <w:numId w:val="5"/>
        </w:numPr>
        <w:overflowPunct/>
        <w:spacing w:after="120"/>
        <w:ind w:left="426" w:hanging="426"/>
        <w:jc w:val="both"/>
        <w:textAlignment w:val="auto"/>
        <w:rPr>
          <w:rFonts w:asciiTheme="majorBidi" w:hAnsiTheme="majorBidi" w:cstheme="majorBidi"/>
          <w:color w:val="000000"/>
          <w:sz w:val="20"/>
          <w:lang w:bidi="he-IL"/>
        </w:rPr>
      </w:pPr>
      <w:r w:rsidRPr="00BA4DE5">
        <w:rPr>
          <w:rFonts w:asciiTheme="majorBidi" w:hAnsiTheme="majorBidi" w:cstheme="majorBidi"/>
          <w:color w:val="000000"/>
          <w:sz w:val="20"/>
          <w:lang w:bidi="he-IL"/>
        </w:rPr>
        <w:t xml:space="preserve">To be valid, any Form of Proxy or other instrument appointing a proxy and any power of attorney or other authority under which it is signed, or a </w:t>
      </w:r>
      <w:proofErr w:type="spellStart"/>
      <w:r w:rsidRPr="00BA4DE5">
        <w:rPr>
          <w:rFonts w:asciiTheme="majorBidi" w:hAnsiTheme="majorBidi" w:cstheme="majorBidi"/>
          <w:color w:val="000000"/>
          <w:sz w:val="20"/>
          <w:lang w:bidi="he-IL"/>
        </w:rPr>
        <w:t>notarially</w:t>
      </w:r>
      <w:proofErr w:type="spellEnd"/>
      <w:r w:rsidRPr="00BA4DE5">
        <w:rPr>
          <w:rFonts w:asciiTheme="majorBidi" w:hAnsiTheme="majorBidi" w:cstheme="majorBidi"/>
          <w:color w:val="000000"/>
          <w:sz w:val="20"/>
          <w:lang w:bidi="he-IL"/>
        </w:rPr>
        <w:t xml:space="preserve"> </w:t>
      </w:r>
      <w:r w:rsidRPr="00B01A81">
        <w:rPr>
          <w:rFonts w:asciiTheme="majorBidi" w:hAnsiTheme="majorBidi" w:cstheme="majorBidi"/>
          <w:color w:val="000000"/>
          <w:sz w:val="20"/>
          <w:lang w:bidi="he-IL"/>
        </w:rPr>
        <w:t xml:space="preserve">certified or office copy of such power or authority, must be received by post or (during normal business hours only) by hand at Link </w:t>
      </w:r>
      <w:r w:rsidR="00B4487F">
        <w:rPr>
          <w:rFonts w:asciiTheme="majorBidi" w:hAnsiTheme="majorBidi" w:cstheme="majorBidi"/>
          <w:color w:val="000000"/>
          <w:sz w:val="20"/>
          <w:lang w:bidi="he-IL"/>
        </w:rPr>
        <w:t>Asset</w:t>
      </w:r>
      <w:r w:rsidRPr="00B01A81">
        <w:rPr>
          <w:rFonts w:asciiTheme="majorBidi" w:hAnsiTheme="majorBidi" w:cstheme="majorBidi"/>
          <w:color w:val="000000"/>
          <w:sz w:val="20"/>
          <w:lang w:bidi="he-IL"/>
        </w:rPr>
        <w:t xml:space="preserve"> Services, Proxies, The Registry, 34 Beckenham Road, Beckenham, Kent BR3 4TU by no later than </w:t>
      </w:r>
      <w:r w:rsidR="007E0343">
        <w:rPr>
          <w:rFonts w:asciiTheme="majorBidi" w:hAnsiTheme="majorBidi" w:cstheme="majorBidi"/>
          <w:color w:val="000000"/>
          <w:sz w:val="20"/>
          <w:lang w:bidi="he-IL"/>
        </w:rPr>
        <w:t>2</w:t>
      </w:r>
      <w:r w:rsidRPr="00B01A81">
        <w:rPr>
          <w:rFonts w:asciiTheme="majorBidi" w:hAnsiTheme="majorBidi" w:cstheme="majorBidi"/>
          <w:color w:val="000000"/>
          <w:sz w:val="20"/>
          <w:lang w:bidi="he-IL"/>
        </w:rPr>
        <w:t xml:space="preserve">.00 </w:t>
      </w:r>
      <w:r w:rsidR="007E0343">
        <w:rPr>
          <w:rFonts w:asciiTheme="majorBidi" w:hAnsiTheme="majorBidi" w:cstheme="majorBidi"/>
          <w:color w:val="000000"/>
          <w:sz w:val="20"/>
          <w:lang w:bidi="he-IL"/>
        </w:rPr>
        <w:t>p</w:t>
      </w:r>
      <w:r w:rsidRPr="00B01A81">
        <w:rPr>
          <w:rFonts w:asciiTheme="majorBidi" w:hAnsiTheme="majorBidi" w:cstheme="majorBidi"/>
          <w:color w:val="000000"/>
          <w:sz w:val="20"/>
          <w:lang w:bidi="he-IL"/>
        </w:rPr>
        <w:t>m</w:t>
      </w:r>
      <w:r w:rsidR="007E0343">
        <w:rPr>
          <w:rFonts w:asciiTheme="majorBidi" w:hAnsiTheme="majorBidi" w:cstheme="majorBidi"/>
          <w:color w:val="000000"/>
          <w:sz w:val="20"/>
          <w:lang w:bidi="he-IL"/>
        </w:rPr>
        <w:t xml:space="preserve"> BST</w:t>
      </w:r>
      <w:r w:rsidRPr="00B01A81">
        <w:rPr>
          <w:rFonts w:asciiTheme="majorBidi" w:hAnsiTheme="majorBidi" w:cstheme="majorBidi"/>
          <w:color w:val="000000"/>
          <w:sz w:val="20"/>
          <w:lang w:bidi="he-IL"/>
        </w:rPr>
        <w:t xml:space="preserve"> on </w:t>
      </w:r>
      <w:r w:rsidR="0094632C">
        <w:rPr>
          <w:rFonts w:asciiTheme="majorBidi" w:hAnsiTheme="majorBidi" w:cstheme="majorBidi"/>
          <w:color w:val="000000"/>
          <w:sz w:val="20"/>
          <w:lang w:bidi="he-IL"/>
        </w:rPr>
        <w:t>11 June 2019</w:t>
      </w:r>
      <w:r w:rsidRPr="00B01A81">
        <w:rPr>
          <w:rFonts w:asciiTheme="majorBidi" w:hAnsiTheme="majorBidi" w:cstheme="majorBidi"/>
          <w:color w:val="000000"/>
          <w:sz w:val="20"/>
          <w:lang w:bidi="he-IL"/>
        </w:rPr>
        <w:t xml:space="preserve">. </w:t>
      </w:r>
    </w:p>
    <w:p w14:paraId="76480A52" w14:textId="5BA24F82" w:rsidR="008E55F8" w:rsidRPr="00BA4DE5" w:rsidRDefault="008E55F8" w:rsidP="008E55F8">
      <w:pPr>
        <w:numPr>
          <w:ilvl w:val="0"/>
          <w:numId w:val="5"/>
        </w:numPr>
        <w:overflowPunct/>
        <w:spacing w:after="120"/>
        <w:ind w:left="426" w:hanging="426"/>
        <w:jc w:val="both"/>
        <w:textAlignment w:val="auto"/>
        <w:rPr>
          <w:rFonts w:asciiTheme="majorBidi" w:hAnsiTheme="majorBidi" w:cstheme="majorBidi"/>
          <w:color w:val="000000"/>
          <w:sz w:val="20"/>
          <w:lang w:bidi="he-IL"/>
        </w:rPr>
      </w:pPr>
      <w:r w:rsidRPr="00BA4DE5">
        <w:rPr>
          <w:rFonts w:asciiTheme="majorBidi" w:hAnsiTheme="majorBidi" w:cstheme="majorBidi"/>
          <w:color w:val="000000"/>
          <w:sz w:val="20"/>
          <w:lang w:bidi="he-IL"/>
        </w:rPr>
        <w:t xml:space="preserve">The return of a completed Form of Proxy or other such instrument or any CREST Proxy Instruction (as described in paragraph </w:t>
      </w:r>
      <w:r w:rsidR="007878D6" w:rsidRPr="00BA4DE5">
        <w:rPr>
          <w:rFonts w:asciiTheme="majorBidi" w:hAnsiTheme="majorBidi" w:cstheme="majorBidi"/>
          <w:color w:val="000000"/>
          <w:sz w:val="20"/>
          <w:lang w:bidi="he-IL"/>
        </w:rPr>
        <w:t>1</w:t>
      </w:r>
      <w:r w:rsidR="007878D6">
        <w:rPr>
          <w:rFonts w:asciiTheme="majorBidi" w:hAnsiTheme="majorBidi" w:cstheme="majorBidi"/>
          <w:color w:val="000000"/>
          <w:sz w:val="20"/>
          <w:lang w:bidi="he-IL"/>
        </w:rPr>
        <w:t xml:space="preserve">0 </w:t>
      </w:r>
      <w:r w:rsidRPr="00BA4DE5">
        <w:rPr>
          <w:rFonts w:asciiTheme="majorBidi" w:hAnsiTheme="majorBidi" w:cstheme="majorBidi"/>
          <w:color w:val="000000"/>
          <w:sz w:val="20"/>
          <w:lang w:bidi="he-IL"/>
        </w:rPr>
        <w:t>below) will not prevent a shareholder attending the Annual General Meeting and voting in person if he/she wishes to do so.</w:t>
      </w:r>
    </w:p>
    <w:p w14:paraId="44C0F1E9" w14:textId="01E2F373" w:rsidR="008E55F8" w:rsidRPr="00BA4DE5" w:rsidRDefault="008E55F8" w:rsidP="005A3A15">
      <w:pPr>
        <w:numPr>
          <w:ilvl w:val="0"/>
          <w:numId w:val="5"/>
        </w:numPr>
        <w:overflowPunct/>
        <w:spacing w:after="120"/>
        <w:ind w:left="426" w:hanging="426"/>
        <w:jc w:val="both"/>
        <w:textAlignment w:val="auto"/>
        <w:rPr>
          <w:rFonts w:asciiTheme="majorBidi" w:hAnsiTheme="majorBidi" w:cstheme="majorBidi"/>
          <w:color w:val="000000"/>
          <w:sz w:val="20"/>
          <w:lang w:bidi="he-IL"/>
        </w:rPr>
      </w:pPr>
      <w:r w:rsidRPr="00BA4DE5">
        <w:rPr>
          <w:rFonts w:asciiTheme="majorBidi" w:hAnsiTheme="majorBidi" w:cstheme="majorBidi"/>
          <w:color w:val="000000"/>
          <w:sz w:val="20"/>
          <w:lang w:bidi="he-IL"/>
        </w:rPr>
        <w:lastRenderedPageBreak/>
        <w:t>Pursuant to</w:t>
      </w:r>
      <w:r>
        <w:rPr>
          <w:rFonts w:asciiTheme="majorBidi" w:hAnsiTheme="majorBidi" w:cstheme="majorBidi"/>
          <w:color w:val="000000"/>
          <w:sz w:val="20"/>
          <w:lang w:bidi="he-IL"/>
        </w:rPr>
        <w:t xml:space="preserve"> the Israeli </w:t>
      </w:r>
      <w:r w:rsidRPr="00BA4DE5">
        <w:rPr>
          <w:rFonts w:asciiTheme="majorBidi" w:hAnsiTheme="majorBidi" w:cstheme="majorBidi"/>
          <w:color w:val="000000"/>
          <w:sz w:val="20"/>
          <w:lang w:bidi="he-IL"/>
        </w:rPr>
        <w:t>Companies Law, to be entitled to attend and vote at the Annual General Meeting (and for the purpose of the determination by the Company of the votes they may cast)</w:t>
      </w:r>
      <w:proofErr w:type="gramStart"/>
      <w:r w:rsidRPr="00BA4DE5">
        <w:rPr>
          <w:rFonts w:asciiTheme="majorBidi" w:hAnsiTheme="majorBidi" w:cstheme="majorBidi"/>
          <w:color w:val="000000"/>
          <w:sz w:val="20"/>
          <w:lang w:bidi="he-IL"/>
        </w:rPr>
        <w:t>,</w:t>
      </w:r>
      <w:proofErr w:type="gramEnd"/>
      <w:r w:rsidRPr="00BA4DE5">
        <w:rPr>
          <w:rFonts w:asciiTheme="majorBidi" w:hAnsiTheme="majorBidi" w:cstheme="majorBidi"/>
          <w:color w:val="000000"/>
          <w:sz w:val="20"/>
          <w:lang w:bidi="he-IL"/>
        </w:rPr>
        <w:t xml:space="preserve"> shareholders must be registered in the register of the Company at close of business on </w:t>
      </w:r>
      <w:r w:rsidR="005A3A15">
        <w:rPr>
          <w:rFonts w:asciiTheme="majorBidi" w:hAnsiTheme="majorBidi" w:cstheme="majorBidi"/>
          <w:color w:val="000000"/>
          <w:sz w:val="20"/>
          <w:lang w:bidi="he-IL"/>
        </w:rPr>
        <w:t>8</w:t>
      </w:r>
      <w:r w:rsidR="0094632C">
        <w:rPr>
          <w:rFonts w:asciiTheme="majorBidi" w:hAnsiTheme="majorBidi" w:cstheme="majorBidi"/>
          <w:color w:val="000000"/>
          <w:sz w:val="20"/>
          <w:lang w:bidi="he-IL"/>
        </w:rPr>
        <w:t xml:space="preserve"> May 2019</w:t>
      </w:r>
      <w:r w:rsidRPr="00BA4DE5">
        <w:rPr>
          <w:rFonts w:asciiTheme="majorBidi" w:hAnsiTheme="majorBidi" w:cstheme="majorBidi"/>
          <w:color w:val="000000"/>
          <w:sz w:val="20"/>
          <w:lang w:bidi="he-IL"/>
        </w:rPr>
        <w:t>. Changes to the Company’s register after the relevant deadline shall be disregarded in determining the rights of any person to attend and vote at the Annual General Meeting.</w:t>
      </w:r>
    </w:p>
    <w:p w14:paraId="390D56E1" w14:textId="77777777" w:rsidR="008E55F8" w:rsidRPr="00BA4DE5" w:rsidRDefault="008E55F8" w:rsidP="008E55F8">
      <w:pPr>
        <w:numPr>
          <w:ilvl w:val="0"/>
          <w:numId w:val="5"/>
        </w:numPr>
        <w:overflowPunct/>
        <w:spacing w:after="120"/>
        <w:ind w:left="426" w:hanging="426"/>
        <w:jc w:val="both"/>
        <w:textAlignment w:val="auto"/>
        <w:rPr>
          <w:rFonts w:asciiTheme="majorBidi" w:hAnsiTheme="majorBidi" w:cstheme="majorBidi"/>
          <w:color w:val="000000"/>
          <w:sz w:val="20"/>
          <w:lang w:bidi="he-IL"/>
        </w:rPr>
      </w:pPr>
      <w:r w:rsidRPr="00BA4DE5">
        <w:rPr>
          <w:rFonts w:asciiTheme="majorBidi" w:hAnsiTheme="majorBidi" w:cstheme="majorBidi"/>
          <w:color w:val="000000"/>
          <w:sz w:val="20"/>
          <w:lang w:bidi="he-IL"/>
        </w:rPr>
        <w:t>The quorum for the Annual General Meeting shall be two or more shareholders present in person or by proxy and holding shares conferring in the aggregate 25 per cent of the voting power of the Company. If within half an hour from the time appointed for the meeting a quorum is not present, the meeting shall be adjourned to the same day in the next week, at the same time and place, or to such day and at such time and place as the Chairman may determine.</w:t>
      </w:r>
    </w:p>
    <w:p w14:paraId="4FCACA68" w14:textId="77777777" w:rsidR="008E55F8" w:rsidRPr="00BA4DE5" w:rsidRDefault="008E55F8" w:rsidP="008E55F8">
      <w:pPr>
        <w:numPr>
          <w:ilvl w:val="0"/>
          <w:numId w:val="5"/>
        </w:numPr>
        <w:overflowPunct/>
        <w:spacing w:after="120"/>
        <w:ind w:left="426" w:hanging="426"/>
        <w:jc w:val="both"/>
        <w:textAlignment w:val="auto"/>
        <w:rPr>
          <w:rFonts w:asciiTheme="majorBidi" w:hAnsiTheme="majorBidi" w:cstheme="majorBidi"/>
          <w:color w:val="000000"/>
          <w:sz w:val="20"/>
          <w:lang w:bidi="he-IL"/>
        </w:rPr>
      </w:pPr>
      <w:r w:rsidRPr="00BA4DE5">
        <w:rPr>
          <w:rFonts w:asciiTheme="majorBidi" w:hAnsiTheme="majorBidi" w:cstheme="majorBidi"/>
          <w:color w:val="000000"/>
          <w:sz w:val="20"/>
          <w:lang w:bidi="he-IL"/>
        </w:rPr>
        <w:t xml:space="preserve">Any shareholder attending the Annual General Meeting is entitled pursuant to the </w:t>
      </w:r>
      <w:r>
        <w:rPr>
          <w:rFonts w:asciiTheme="majorBidi" w:hAnsiTheme="majorBidi" w:cstheme="majorBidi"/>
          <w:color w:val="000000"/>
          <w:sz w:val="20"/>
          <w:lang w:bidi="he-IL"/>
        </w:rPr>
        <w:t xml:space="preserve">Israeli </w:t>
      </w:r>
      <w:r w:rsidRPr="00BA4DE5">
        <w:rPr>
          <w:rFonts w:asciiTheme="majorBidi" w:hAnsiTheme="majorBidi" w:cstheme="majorBidi"/>
          <w:color w:val="000000"/>
          <w:sz w:val="20"/>
          <w:lang w:bidi="he-IL"/>
        </w:rPr>
        <w:t>Companies Law to ask any question relating to the business being dealt with at the meeting. The Company will answer any such questions unless (</w:t>
      </w:r>
      <w:proofErr w:type="spellStart"/>
      <w:r w:rsidRPr="00BA4DE5">
        <w:rPr>
          <w:rFonts w:asciiTheme="majorBidi" w:hAnsiTheme="majorBidi" w:cstheme="majorBidi"/>
          <w:color w:val="000000"/>
          <w:sz w:val="20"/>
          <w:lang w:bidi="he-IL"/>
        </w:rPr>
        <w:t>i</w:t>
      </w:r>
      <w:proofErr w:type="spellEnd"/>
      <w:r w:rsidRPr="00BA4DE5">
        <w:rPr>
          <w:rFonts w:asciiTheme="majorBidi" w:hAnsiTheme="majorBidi" w:cstheme="majorBidi"/>
          <w:color w:val="000000"/>
          <w:sz w:val="20"/>
          <w:lang w:bidi="he-IL"/>
        </w:rPr>
        <w:t>) to do so would interfere unduly with the preparation for the meeting or involve the disclosure of confidential information; or (ii) the answer has already been given on a website in the form of any answer to a question; or (iii) it is undesirable in the interests of the Company or the good order of the meeting that the question be answered.</w:t>
      </w:r>
    </w:p>
    <w:p w14:paraId="187D8ED0" w14:textId="77777777" w:rsidR="005A3A15" w:rsidRPr="00CD23BD" w:rsidRDefault="005A3A15" w:rsidP="005A3A15">
      <w:pPr>
        <w:numPr>
          <w:ilvl w:val="0"/>
          <w:numId w:val="5"/>
        </w:numPr>
        <w:overflowPunct/>
        <w:spacing w:after="120"/>
        <w:ind w:left="426" w:hanging="426"/>
        <w:jc w:val="both"/>
        <w:textAlignment w:val="auto"/>
        <w:rPr>
          <w:rFonts w:asciiTheme="majorBidi" w:hAnsiTheme="majorBidi" w:cstheme="majorBidi"/>
          <w:color w:val="000000"/>
          <w:sz w:val="20"/>
          <w:lang w:bidi="he-IL"/>
        </w:rPr>
      </w:pPr>
      <w:r w:rsidRPr="00CD23BD">
        <w:rPr>
          <w:rFonts w:asciiTheme="majorBidi" w:hAnsiTheme="majorBidi" w:cstheme="majorBidi"/>
          <w:color w:val="000000"/>
          <w:sz w:val="20"/>
          <w:lang w:bidi="he-IL"/>
        </w:rPr>
        <w:t xml:space="preserve">As at 1 May 2019, the Company’s issued share capital consisted of </w:t>
      </w:r>
      <w:bookmarkStart w:id="7" w:name="OLE_LINK27"/>
      <w:r w:rsidRPr="00CD23BD">
        <w:rPr>
          <w:rFonts w:asciiTheme="majorBidi" w:hAnsiTheme="majorBidi" w:cstheme="majorBidi"/>
          <w:color w:val="000000"/>
          <w:sz w:val="20"/>
          <w:lang w:bidi="he-IL"/>
        </w:rPr>
        <w:t>128,854,652</w:t>
      </w:r>
      <w:bookmarkEnd w:id="7"/>
      <w:r w:rsidRPr="00CD23BD">
        <w:rPr>
          <w:rFonts w:asciiTheme="majorBidi" w:hAnsiTheme="majorBidi" w:cstheme="majorBidi"/>
          <w:color w:val="000000"/>
          <w:sz w:val="20"/>
          <w:lang w:bidi="he-IL"/>
        </w:rPr>
        <w:t xml:space="preserve"> ordinary shares, along with 14,739,643 shares reclassified as dormant shares under the Israel Companies Law (without any rights attached thereon), which the Company holds in Treasury. Therefore, the total voting rights in the Company as at 1 May 2019 were 128,854,652.  </w:t>
      </w:r>
    </w:p>
    <w:p w14:paraId="41C3419F" w14:textId="4E4A2102" w:rsidR="008E55F8" w:rsidRDefault="008E55F8" w:rsidP="008E55F8">
      <w:pPr>
        <w:numPr>
          <w:ilvl w:val="0"/>
          <w:numId w:val="5"/>
        </w:numPr>
        <w:overflowPunct/>
        <w:spacing w:after="120"/>
        <w:ind w:left="426" w:hanging="426"/>
        <w:jc w:val="both"/>
        <w:textAlignment w:val="auto"/>
        <w:rPr>
          <w:rFonts w:asciiTheme="majorBidi" w:hAnsiTheme="majorBidi" w:cstheme="majorBidi"/>
          <w:color w:val="000000"/>
          <w:sz w:val="20"/>
          <w:lang w:bidi="he-IL"/>
        </w:rPr>
      </w:pPr>
      <w:r w:rsidRPr="00BA4DE5">
        <w:rPr>
          <w:rFonts w:asciiTheme="majorBidi" w:hAnsiTheme="majorBidi" w:cstheme="majorBidi"/>
          <w:color w:val="000000"/>
          <w:sz w:val="20"/>
          <w:lang w:bidi="he-IL"/>
        </w:rPr>
        <w:t>The Board</w:t>
      </w:r>
      <w:r w:rsidRPr="00BA4DE5" w:rsidDel="00C94BD1">
        <w:rPr>
          <w:rFonts w:asciiTheme="majorBidi" w:hAnsiTheme="majorBidi" w:cstheme="majorBidi"/>
          <w:color w:val="000000"/>
          <w:sz w:val="20"/>
          <w:lang w:bidi="he-IL"/>
        </w:rPr>
        <w:t xml:space="preserve"> </w:t>
      </w:r>
      <w:r w:rsidRPr="00BA4DE5">
        <w:rPr>
          <w:rFonts w:asciiTheme="majorBidi" w:hAnsiTheme="majorBidi" w:cstheme="majorBidi"/>
          <w:color w:val="000000"/>
          <w:sz w:val="20"/>
          <w:lang w:bidi="he-IL"/>
        </w:rPr>
        <w:t>recommends that shareholders vote in favour of all items in the Notice.</w:t>
      </w:r>
    </w:p>
    <w:p w14:paraId="7AB94B7F" w14:textId="77777777" w:rsidR="008E55F8" w:rsidRPr="00BA4DE5" w:rsidRDefault="008E55F8" w:rsidP="008E55F8">
      <w:pPr>
        <w:numPr>
          <w:ilvl w:val="0"/>
          <w:numId w:val="5"/>
        </w:numPr>
        <w:overflowPunct/>
        <w:spacing w:after="120"/>
        <w:ind w:left="426" w:hanging="426"/>
        <w:jc w:val="both"/>
        <w:textAlignment w:val="auto"/>
        <w:rPr>
          <w:rFonts w:asciiTheme="majorBidi" w:hAnsiTheme="majorBidi" w:cstheme="majorBidi"/>
          <w:color w:val="000000"/>
          <w:sz w:val="20"/>
          <w:lang w:bidi="he-IL"/>
        </w:rPr>
      </w:pPr>
      <w:r w:rsidRPr="00BA4DE5">
        <w:rPr>
          <w:rFonts w:asciiTheme="majorBidi" w:hAnsiTheme="majorBidi" w:cstheme="majorBidi"/>
          <w:color w:val="000000"/>
          <w:sz w:val="20"/>
          <w:lang w:bidi="he-IL"/>
        </w:rPr>
        <w:t>CREST members who wish to appoint a proxy or proxies through the CREST electronic proxy appointment service may do so by using the procedures described in the CREST Manual. CREST Personal Members or other CREST sponsored members, and those CREST members who have appointed a service provider, should refer to their CREST sponsor or voting service provider, who will be able to take the appropriate action on their behalf.</w:t>
      </w:r>
    </w:p>
    <w:p w14:paraId="31924611" w14:textId="03D26676" w:rsidR="008E55F8" w:rsidRPr="00BA4DE5" w:rsidRDefault="008E55F8" w:rsidP="0094632C">
      <w:pPr>
        <w:numPr>
          <w:ilvl w:val="0"/>
          <w:numId w:val="5"/>
        </w:numPr>
        <w:overflowPunct/>
        <w:spacing w:after="120"/>
        <w:ind w:left="426" w:hanging="426"/>
        <w:jc w:val="both"/>
        <w:textAlignment w:val="auto"/>
        <w:rPr>
          <w:rFonts w:asciiTheme="majorBidi" w:hAnsiTheme="majorBidi" w:cstheme="majorBidi"/>
          <w:color w:val="000000"/>
          <w:sz w:val="20"/>
          <w:lang w:bidi="he-IL"/>
        </w:rPr>
      </w:pPr>
      <w:r w:rsidRPr="00BA4DE5">
        <w:rPr>
          <w:rFonts w:asciiTheme="majorBidi" w:hAnsiTheme="majorBidi" w:cstheme="majorBidi"/>
          <w:color w:val="000000"/>
          <w:sz w:val="20"/>
          <w:lang w:bidi="he-IL"/>
        </w:rPr>
        <w:t>In order for a proxy appointment or instruction made using the CREST service to be valid, the appropriate CREST message (a “</w:t>
      </w:r>
      <w:r w:rsidRPr="00BA4DE5">
        <w:rPr>
          <w:rFonts w:asciiTheme="majorBidi" w:hAnsiTheme="majorBidi" w:cstheme="majorBidi"/>
          <w:b/>
          <w:bCs/>
          <w:color w:val="000000"/>
          <w:sz w:val="20"/>
          <w:lang w:bidi="he-IL"/>
        </w:rPr>
        <w:t>CREST Proxy Instruction</w:t>
      </w:r>
      <w:r w:rsidRPr="00BA4DE5">
        <w:rPr>
          <w:rFonts w:asciiTheme="majorBidi" w:hAnsiTheme="majorBidi" w:cstheme="majorBidi"/>
          <w:color w:val="000000"/>
          <w:sz w:val="20"/>
          <w:lang w:bidi="he-IL"/>
        </w:rPr>
        <w:t xml:space="preserve">”) must be properly authenticated in accordance with </w:t>
      </w:r>
      <w:proofErr w:type="spellStart"/>
      <w:r w:rsidRPr="00BA4DE5">
        <w:rPr>
          <w:rFonts w:asciiTheme="majorBidi" w:hAnsiTheme="majorBidi" w:cstheme="majorBidi"/>
          <w:color w:val="000000"/>
          <w:sz w:val="20"/>
          <w:lang w:bidi="he-IL"/>
        </w:rPr>
        <w:t>CRESTCo’s</w:t>
      </w:r>
      <w:proofErr w:type="spellEnd"/>
      <w:r w:rsidRPr="00BA4DE5">
        <w:rPr>
          <w:rFonts w:asciiTheme="majorBidi" w:hAnsiTheme="majorBidi" w:cstheme="majorBidi"/>
          <w:color w:val="000000"/>
          <w:sz w:val="20"/>
          <w:lang w:bidi="he-IL"/>
        </w:rPr>
        <w:t xml:space="preserve"> specifications, and must contain the information required for such instruction, as described in the CREST Manual. The message, regardless of whether it constitutes the appointment of a proxy or is an amendment to an instruction given to a previously appointed proxy, must, in order to be valid, be transmitted so as to be received by the issuer’s agent ID (RA10) by </w:t>
      </w:r>
      <w:r w:rsidR="007E0343">
        <w:rPr>
          <w:rFonts w:asciiTheme="majorBidi" w:hAnsiTheme="majorBidi" w:cstheme="majorBidi"/>
          <w:color w:val="000000"/>
          <w:sz w:val="20"/>
          <w:lang w:bidi="he-IL"/>
        </w:rPr>
        <w:t>2</w:t>
      </w:r>
      <w:r w:rsidRPr="00BA4DE5">
        <w:rPr>
          <w:rFonts w:asciiTheme="majorBidi" w:hAnsiTheme="majorBidi" w:cstheme="majorBidi"/>
          <w:color w:val="000000"/>
          <w:sz w:val="20"/>
          <w:lang w:bidi="he-IL"/>
        </w:rPr>
        <w:t xml:space="preserve">.00 </w:t>
      </w:r>
      <w:r w:rsidR="007E0343">
        <w:rPr>
          <w:rFonts w:asciiTheme="majorBidi" w:hAnsiTheme="majorBidi" w:cstheme="majorBidi"/>
          <w:color w:val="000000"/>
          <w:sz w:val="20"/>
          <w:lang w:bidi="he-IL"/>
        </w:rPr>
        <w:t>p</w:t>
      </w:r>
      <w:r w:rsidRPr="00BA4DE5">
        <w:rPr>
          <w:rFonts w:asciiTheme="majorBidi" w:hAnsiTheme="majorBidi" w:cstheme="majorBidi"/>
          <w:color w:val="000000"/>
          <w:sz w:val="20"/>
          <w:lang w:bidi="he-IL"/>
        </w:rPr>
        <w:t>m</w:t>
      </w:r>
      <w:r w:rsidR="007E0343">
        <w:rPr>
          <w:rFonts w:asciiTheme="majorBidi" w:hAnsiTheme="majorBidi" w:cstheme="majorBidi"/>
          <w:color w:val="000000"/>
          <w:sz w:val="20"/>
          <w:lang w:bidi="he-IL"/>
        </w:rPr>
        <w:t xml:space="preserve"> BST</w:t>
      </w:r>
      <w:r w:rsidRPr="00BA4DE5">
        <w:rPr>
          <w:rFonts w:asciiTheme="majorBidi" w:hAnsiTheme="majorBidi" w:cstheme="majorBidi"/>
          <w:color w:val="000000"/>
          <w:sz w:val="20"/>
          <w:lang w:bidi="he-IL"/>
        </w:rPr>
        <w:t xml:space="preserve"> </w:t>
      </w:r>
      <w:r w:rsidRPr="00647E07">
        <w:rPr>
          <w:rFonts w:asciiTheme="majorBidi" w:hAnsiTheme="majorBidi" w:cstheme="majorBidi"/>
          <w:color w:val="000000"/>
          <w:sz w:val="20"/>
          <w:lang w:bidi="he-IL"/>
        </w:rPr>
        <w:t xml:space="preserve">on </w:t>
      </w:r>
      <w:r w:rsidR="0094632C">
        <w:rPr>
          <w:rFonts w:asciiTheme="majorBidi" w:hAnsiTheme="majorBidi" w:cstheme="majorBidi"/>
          <w:color w:val="000000"/>
          <w:sz w:val="20"/>
          <w:lang w:bidi="he-IL"/>
        </w:rPr>
        <w:t>10 June 2019</w:t>
      </w:r>
      <w:r w:rsidRPr="00BA4DE5">
        <w:rPr>
          <w:rFonts w:asciiTheme="majorBidi" w:hAnsiTheme="majorBidi" w:cstheme="majorBidi"/>
          <w:color w:val="000000"/>
          <w:sz w:val="20"/>
          <w:lang w:bidi="he-IL"/>
        </w:rPr>
        <w:t xml:space="preserve">. For this purpose, the time of receipt will be taken to be the time (as determined by the timestamp applied to the message by the CREST Application Host) from which the issuer’s agent is able to retrieve the message by enquiry to CREST in the manner prescribed by CREST. After this time any change of instructions to proxies appointed through CREST should be communicated to the appointee through other means. </w:t>
      </w:r>
    </w:p>
    <w:p w14:paraId="5396C8A0" w14:textId="77777777" w:rsidR="008E55F8" w:rsidRPr="00BA4DE5" w:rsidRDefault="008E55F8" w:rsidP="008E55F8">
      <w:pPr>
        <w:numPr>
          <w:ilvl w:val="0"/>
          <w:numId w:val="5"/>
        </w:numPr>
        <w:overflowPunct/>
        <w:spacing w:after="120"/>
        <w:ind w:left="426" w:hanging="426"/>
        <w:jc w:val="both"/>
        <w:textAlignment w:val="auto"/>
        <w:rPr>
          <w:rFonts w:asciiTheme="majorBidi" w:hAnsiTheme="majorBidi" w:cstheme="majorBidi"/>
          <w:color w:val="000000"/>
          <w:sz w:val="20"/>
          <w:lang w:bidi="he-IL"/>
        </w:rPr>
      </w:pPr>
      <w:r w:rsidRPr="00BA4DE5">
        <w:rPr>
          <w:rFonts w:asciiTheme="majorBidi" w:hAnsiTheme="majorBidi" w:cstheme="majorBidi"/>
          <w:color w:val="000000"/>
          <w:sz w:val="20"/>
          <w:lang w:bidi="he-IL"/>
        </w:rPr>
        <w:t xml:space="preserve">CREST members and, where applicable, their CREST sponsors or voting service providers should note that </w:t>
      </w:r>
      <w:proofErr w:type="spellStart"/>
      <w:r w:rsidRPr="00BA4DE5">
        <w:rPr>
          <w:rFonts w:asciiTheme="majorBidi" w:hAnsiTheme="majorBidi" w:cstheme="majorBidi"/>
          <w:color w:val="000000"/>
          <w:sz w:val="20"/>
          <w:lang w:bidi="he-IL"/>
        </w:rPr>
        <w:t>CRESTCo</w:t>
      </w:r>
      <w:proofErr w:type="spellEnd"/>
      <w:r w:rsidRPr="00BA4DE5">
        <w:rPr>
          <w:rFonts w:asciiTheme="majorBidi" w:hAnsiTheme="majorBidi" w:cstheme="majorBidi"/>
          <w:color w:val="000000"/>
          <w:sz w:val="20"/>
          <w:lang w:bidi="he-IL"/>
        </w:rPr>
        <w:t xml:space="preserve"> does not make available special procedures in CREST for any particular message. Normal system timings and limitations will, therefore, apply in relation to the input of CREST Proxy Instructions. It is the responsibility of the CREST member concerned to take (or, if the CREST member is a CREST personal member, or sponsored member, or has appointed a voting service provider, to procure that his CREST sponsor or voting service provider takes) such action as shall be necessary to ensure that a message is transmitted by means of the CREST system by any particular time. In this connection, CREST members and, where applicable, their CREST sponsors or voting system providers are referred, in particular, to those sections of the CREST Manual concerning practical limitations of the CREST system and timings.</w:t>
      </w:r>
    </w:p>
    <w:p w14:paraId="5A9B82C8" w14:textId="77777777" w:rsidR="008E55F8" w:rsidRPr="00BA4DE5" w:rsidRDefault="008E55F8" w:rsidP="008E55F8">
      <w:pPr>
        <w:numPr>
          <w:ilvl w:val="0"/>
          <w:numId w:val="5"/>
        </w:numPr>
        <w:overflowPunct/>
        <w:spacing w:after="120"/>
        <w:ind w:left="426" w:hanging="426"/>
        <w:jc w:val="both"/>
        <w:textAlignment w:val="auto"/>
        <w:rPr>
          <w:rFonts w:asciiTheme="majorBidi" w:hAnsiTheme="majorBidi" w:cstheme="majorBidi"/>
          <w:color w:val="000000"/>
          <w:sz w:val="20"/>
          <w:lang w:bidi="he-IL"/>
        </w:rPr>
      </w:pPr>
      <w:r w:rsidRPr="00BA4DE5">
        <w:rPr>
          <w:rFonts w:asciiTheme="majorBidi" w:hAnsiTheme="majorBidi" w:cstheme="majorBidi"/>
          <w:color w:val="000000"/>
          <w:sz w:val="20"/>
          <w:lang w:bidi="he-IL"/>
        </w:rPr>
        <w:t xml:space="preserve">The Company may treat as invalid a CREST Proxy Instruction in the circumstances set out in regulation 35(5)(a) of the Uncertificated Securities Regulations 2001. </w:t>
      </w:r>
    </w:p>
    <w:p w14:paraId="694C1953" w14:textId="77777777" w:rsidR="0094632C" w:rsidRPr="0094632C" w:rsidRDefault="0094632C" w:rsidP="0094632C">
      <w:pPr>
        <w:numPr>
          <w:ilvl w:val="0"/>
          <w:numId w:val="5"/>
        </w:numPr>
        <w:overflowPunct/>
        <w:spacing w:after="120"/>
        <w:ind w:left="426" w:hanging="426"/>
        <w:jc w:val="both"/>
        <w:textAlignment w:val="auto"/>
        <w:rPr>
          <w:rFonts w:asciiTheme="majorBidi" w:hAnsiTheme="majorBidi" w:cstheme="majorBidi"/>
          <w:color w:val="000000"/>
          <w:sz w:val="20"/>
          <w:lang w:bidi="he-IL"/>
        </w:rPr>
      </w:pPr>
      <w:r w:rsidRPr="0094632C">
        <w:rPr>
          <w:rFonts w:asciiTheme="majorBidi" w:hAnsiTheme="majorBidi" w:cstheme="majorBidi"/>
          <w:color w:val="000000"/>
          <w:sz w:val="20"/>
          <w:lang w:bidi="he-IL"/>
        </w:rPr>
        <w:t xml:space="preserve">Pursuant to the Israel Companies Law, the approval of each of the Resolutions requires the affirmative vote of the holders of a majority of the voting power represented and voting on the resolution in person or by proxy. </w:t>
      </w:r>
    </w:p>
    <w:p w14:paraId="47BEE0DC" w14:textId="77777777" w:rsidR="004F0DB1" w:rsidRPr="00F511C0" w:rsidRDefault="004F0DB1" w:rsidP="008E55F8">
      <w:pPr>
        <w:overflowPunct/>
        <w:spacing w:after="120"/>
        <w:ind w:left="426"/>
        <w:jc w:val="both"/>
        <w:textAlignment w:val="auto"/>
        <w:rPr>
          <w:rFonts w:asciiTheme="majorBidi" w:hAnsiTheme="majorBidi" w:cstheme="majorBidi"/>
          <w:color w:val="000000"/>
          <w:sz w:val="20"/>
          <w:lang w:bidi="he-IL"/>
        </w:rPr>
      </w:pPr>
    </w:p>
    <w:p w14:paraId="00C521E1" w14:textId="77777777" w:rsidR="00605E38" w:rsidRDefault="00605E38" w:rsidP="00A53771">
      <w:pPr>
        <w:widowControl w:val="0"/>
        <w:tabs>
          <w:tab w:val="left" w:pos="720"/>
        </w:tabs>
        <w:spacing w:before="120"/>
        <w:ind w:left="720" w:hanging="720"/>
        <w:jc w:val="both"/>
        <w:rPr>
          <w:sz w:val="16"/>
        </w:rPr>
      </w:pPr>
    </w:p>
    <w:sectPr w:rsidR="00605E38" w:rsidSect="00605E38">
      <w:pgSz w:w="11906" w:h="16838" w:code="9"/>
      <w:pgMar w:top="1134" w:right="1797" w:bottom="1242" w:left="1797"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8F437" w14:textId="77777777" w:rsidR="00FF1161" w:rsidRDefault="00FF1161">
      <w:r>
        <w:separator/>
      </w:r>
    </w:p>
  </w:endnote>
  <w:endnote w:type="continuationSeparator" w:id="0">
    <w:p w14:paraId="4601CA34" w14:textId="77777777" w:rsidR="00FF1161" w:rsidRDefault="00FF1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D0972C" w14:textId="77777777" w:rsidR="00FF1161" w:rsidRDefault="00FF1161">
      <w:r>
        <w:separator/>
      </w:r>
    </w:p>
  </w:footnote>
  <w:footnote w:type="continuationSeparator" w:id="0">
    <w:p w14:paraId="4BB938FB" w14:textId="77777777" w:rsidR="00FF1161" w:rsidRDefault="00FF11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7BF7"/>
    <w:multiLevelType w:val="hybridMultilevel"/>
    <w:tmpl w:val="D2186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D05DEB"/>
    <w:multiLevelType w:val="hybridMultilevel"/>
    <w:tmpl w:val="BA0CE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436FA8"/>
    <w:multiLevelType w:val="hybridMultilevel"/>
    <w:tmpl w:val="CFFC8C3E"/>
    <w:lvl w:ilvl="0" w:tplc="DD302918">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44C63FD"/>
    <w:multiLevelType w:val="hybridMultilevel"/>
    <w:tmpl w:val="49DAA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8605C5"/>
    <w:multiLevelType w:val="hybridMultilevel"/>
    <w:tmpl w:val="19AE9B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A92012A"/>
    <w:multiLevelType w:val="hybridMultilevel"/>
    <w:tmpl w:val="BCEC5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frat Shapira">
    <w15:presenceInfo w15:providerId="AD" w15:userId="S-1-5-21-2035477828-1891278925-2276732890-57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E38"/>
    <w:rsid w:val="00004316"/>
    <w:rsid w:val="00007340"/>
    <w:rsid w:val="0001111C"/>
    <w:rsid w:val="0003755E"/>
    <w:rsid w:val="00042A5F"/>
    <w:rsid w:val="00044C96"/>
    <w:rsid w:val="00045F05"/>
    <w:rsid w:val="00061556"/>
    <w:rsid w:val="0006460A"/>
    <w:rsid w:val="000656D4"/>
    <w:rsid w:val="00066B3D"/>
    <w:rsid w:val="000678CA"/>
    <w:rsid w:val="0007098C"/>
    <w:rsid w:val="000730BA"/>
    <w:rsid w:val="00080955"/>
    <w:rsid w:val="00081369"/>
    <w:rsid w:val="00082432"/>
    <w:rsid w:val="000B05D3"/>
    <w:rsid w:val="000B0EA0"/>
    <w:rsid w:val="000B25F1"/>
    <w:rsid w:val="000B5723"/>
    <w:rsid w:val="000B7F84"/>
    <w:rsid w:val="000D29DC"/>
    <w:rsid w:val="000D5957"/>
    <w:rsid w:val="000E05EE"/>
    <w:rsid w:val="000F10F3"/>
    <w:rsid w:val="00100DE9"/>
    <w:rsid w:val="00111576"/>
    <w:rsid w:val="00115BD8"/>
    <w:rsid w:val="00116857"/>
    <w:rsid w:val="001273A8"/>
    <w:rsid w:val="001335D8"/>
    <w:rsid w:val="00142EF0"/>
    <w:rsid w:val="001578C3"/>
    <w:rsid w:val="0016036A"/>
    <w:rsid w:val="00160BA0"/>
    <w:rsid w:val="00161484"/>
    <w:rsid w:val="00162F3E"/>
    <w:rsid w:val="0018116E"/>
    <w:rsid w:val="00182C14"/>
    <w:rsid w:val="001868AC"/>
    <w:rsid w:val="00192588"/>
    <w:rsid w:val="001A1AFD"/>
    <w:rsid w:val="001A418B"/>
    <w:rsid w:val="001A55B7"/>
    <w:rsid w:val="001C4C41"/>
    <w:rsid w:val="001D0ACD"/>
    <w:rsid w:val="001E1DAE"/>
    <w:rsid w:val="001E3172"/>
    <w:rsid w:val="001E4D57"/>
    <w:rsid w:val="001E69C6"/>
    <w:rsid w:val="0021438F"/>
    <w:rsid w:val="002366ED"/>
    <w:rsid w:val="00237EF7"/>
    <w:rsid w:val="00241A6A"/>
    <w:rsid w:val="00262849"/>
    <w:rsid w:val="00262F8B"/>
    <w:rsid w:val="002632A2"/>
    <w:rsid w:val="002745AC"/>
    <w:rsid w:val="002843BE"/>
    <w:rsid w:val="0028539C"/>
    <w:rsid w:val="002B3C4A"/>
    <w:rsid w:val="002B6BBC"/>
    <w:rsid w:val="002B7DE2"/>
    <w:rsid w:val="003025E5"/>
    <w:rsid w:val="003050C2"/>
    <w:rsid w:val="00311FAC"/>
    <w:rsid w:val="00312297"/>
    <w:rsid w:val="00322C03"/>
    <w:rsid w:val="003238F3"/>
    <w:rsid w:val="00325165"/>
    <w:rsid w:val="00325DBE"/>
    <w:rsid w:val="00327905"/>
    <w:rsid w:val="00345EA8"/>
    <w:rsid w:val="00347E12"/>
    <w:rsid w:val="0035167C"/>
    <w:rsid w:val="003538F0"/>
    <w:rsid w:val="003675E9"/>
    <w:rsid w:val="00372F27"/>
    <w:rsid w:val="00384535"/>
    <w:rsid w:val="003A36AA"/>
    <w:rsid w:val="003B1480"/>
    <w:rsid w:val="003E17D7"/>
    <w:rsid w:val="003E251A"/>
    <w:rsid w:val="004051C8"/>
    <w:rsid w:val="00420EA2"/>
    <w:rsid w:val="00422680"/>
    <w:rsid w:val="00436777"/>
    <w:rsid w:val="00440355"/>
    <w:rsid w:val="004425F0"/>
    <w:rsid w:val="004513E8"/>
    <w:rsid w:val="00461B75"/>
    <w:rsid w:val="00486F3E"/>
    <w:rsid w:val="004C3932"/>
    <w:rsid w:val="004C5517"/>
    <w:rsid w:val="004C7A4B"/>
    <w:rsid w:val="004E0E4D"/>
    <w:rsid w:val="004E5983"/>
    <w:rsid w:val="004F0DB1"/>
    <w:rsid w:val="004F1AE9"/>
    <w:rsid w:val="004F3911"/>
    <w:rsid w:val="00500C46"/>
    <w:rsid w:val="00503CA3"/>
    <w:rsid w:val="00504520"/>
    <w:rsid w:val="00504DAC"/>
    <w:rsid w:val="00506035"/>
    <w:rsid w:val="00513373"/>
    <w:rsid w:val="005147BE"/>
    <w:rsid w:val="005168B7"/>
    <w:rsid w:val="00524ED2"/>
    <w:rsid w:val="00534848"/>
    <w:rsid w:val="00536F2D"/>
    <w:rsid w:val="00537680"/>
    <w:rsid w:val="0055452B"/>
    <w:rsid w:val="00555AAD"/>
    <w:rsid w:val="005566F1"/>
    <w:rsid w:val="00565545"/>
    <w:rsid w:val="00577AC5"/>
    <w:rsid w:val="005A3A15"/>
    <w:rsid w:val="005A7BCD"/>
    <w:rsid w:val="005B142D"/>
    <w:rsid w:val="005C77A0"/>
    <w:rsid w:val="005E110A"/>
    <w:rsid w:val="005F3531"/>
    <w:rsid w:val="00600DD9"/>
    <w:rsid w:val="00605E38"/>
    <w:rsid w:val="00610653"/>
    <w:rsid w:val="00633AF1"/>
    <w:rsid w:val="00641CE9"/>
    <w:rsid w:val="006437C6"/>
    <w:rsid w:val="006673FB"/>
    <w:rsid w:val="00667639"/>
    <w:rsid w:val="00672F4D"/>
    <w:rsid w:val="0068656E"/>
    <w:rsid w:val="0068753C"/>
    <w:rsid w:val="006C1D97"/>
    <w:rsid w:val="006C2B2B"/>
    <w:rsid w:val="006C502F"/>
    <w:rsid w:val="006D7456"/>
    <w:rsid w:val="006F1782"/>
    <w:rsid w:val="006F3C9C"/>
    <w:rsid w:val="006F4E58"/>
    <w:rsid w:val="006F5E3C"/>
    <w:rsid w:val="007011DF"/>
    <w:rsid w:val="0071029A"/>
    <w:rsid w:val="00710584"/>
    <w:rsid w:val="00730999"/>
    <w:rsid w:val="007444F8"/>
    <w:rsid w:val="007445F9"/>
    <w:rsid w:val="007657FD"/>
    <w:rsid w:val="007673C7"/>
    <w:rsid w:val="007878D6"/>
    <w:rsid w:val="007910DC"/>
    <w:rsid w:val="007923C9"/>
    <w:rsid w:val="007A5863"/>
    <w:rsid w:val="007A6A5A"/>
    <w:rsid w:val="007B7B9F"/>
    <w:rsid w:val="007C28A4"/>
    <w:rsid w:val="007D0193"/>
    <w:rsid w:val="007D649C"/>
    <w:rsid w:val="007D66C4"/>
    <w:rsid w:val="007E0343"/>
    <w:rsid w:val="007E1B20"/>
    <w:rsid w:val="007E71EF"/>
    <w:rsid w:val="007F74B8"/>
    <w:rsid w:val="008022CB"/>
    <w:rsid w:val="008148FA"/>
    <w:rsid w:val="008749E8"/>
    <w:rsid w:val="0088002D"/>
    <w:rsid w:val="00887401"/>
    <w:rsid w:val="00893458"/>
    <w:rsid w:val="008A0C91"/>
    <w:rsid w:val="008C6242"/>
    <w:rsid w:val="008D0214"/>
    <w:rsid w:val="008D148D"/>
    <w:rsid w:val="008D1AF9"/>
    <w:rsid w:val="008D33F0"/>
    <w:rsid w:val="008D4BFD"/>
    <w:rsid w:val="008D6942"/>
    <w:rsid w:val="008D74AB"/>
    <w:rsid w:val="008E55F8"/>
    <w:rsid w:val="008E750B"/>
    <w:rsid w:val="0090049F"/>
    <w:rsid w:val="009024A9"/>
    <w:rsid w:val="00913477"/>
    <w:rsid w:val="00916B39"/>
    <w:rsid w:val="0092655A"/>
    <w:rsid w:val="009317F7"/>
    <w:rsid w:val="00933AD8"/>
    <w:rsid w:val="00941264"/>
    <w:rsid w:val="00944D99"/>
    <w:rsid w:val="009454BB"/>
    <w:rsid w:val="00946323"/>
    <w:rsid w:val="0094632C"/>
    <w:rsid w:val="00952067"/>
    <w:rsid w:val="00962A28"/>
    <w:rsid w:val="00980C44"/>
    <w:rsid w:val="00982AF1"/>
    <w:rsid w:val="00992EE0"/>
    <w:rsid w:val="00995A4B"/>
    <w:rsid w:val="00995EDB"/>
    <w:rsid w:val="009A2A12"/>
    <w:rsid w:val="009A54A0"/>
    <w:rsid w:val="009A572A"/>
    <w:rsid w:val="009A6946"/>
    <w:rsid w:val="009B0E9C"/>
    <w:rsid w:val="009B3F32"/>
    <w:rsid w:val="009B7DA9"/>
    <w:rsid w:val="009C471A"/>
    <w:rsid w:val="009D132F"/>
    <w:rsid w:val="009D29B7"/>
    <w:rsid w:val="009D4C5E"/>
    <w:rsid w:val="009D5BA4"/>
    <w:rsid w:val="009D609C"/>
    <w:rsid w:val="009F4F4B"/>
    <w:rsid w:val="009F72D0"/>
    <w:rsid w:val="00A10DA5"/>
    <w:rsid w:val="00A249BD"/>
    <w:rsid w:val="00A25507"/>
    <w:rsid w:val="00A30220"/>
    <w:rsid w:val="00A347EA"/>
    <w:rsid w:val="00A51D48"/>
    <w:rsid w:val="00A51EAE"/>
    <w:rsid w:val="00A53771"/>
    <w:rsid w:val="00A55DD6"/>
    <w:rsid w:val="00A64420"/>
    <w:rsid w:val="00A64BB7"/>
    <w:rsid w:val="00A931A4"/>
    <w:rsid w:val="00A976FF"/>
    <w:rsid w:val="00A97CA9"/>
    <w:rsid w:val="00AB389F"/>
    <w:rsid w:val="00AB4AEC"/>
    <w:rsid w:val="00AC7940"/>
    <w:rsid w:val="00AD0155"/>
    <w:rsid w:val="00AD0FB8"/>
    <w:rsid w:val="00AD3D0E"/>
    <w:rsid w:val="00AE2400"/>
    <w:rsid w:val="00AE6DA4"/>
    <w:rsid w:val="00AE70D9"/>
    <w:rsid w:val="00AE7513"/>
    <w:rsid w:val="00AF7948"/>
    <w:rsid w:val="00B22CF5"/>
    <w:rsid w:val="00B2482B"/>
    <w:rsid w:val="00B2567B"/>
    <w:rsid w:val="00B316B0"/>
    <w:rsid w:val="00B3400F"/>
    <w:rsid w:val="00B36829"/>
    <w:rsid w:val="00B4487F"/>
    <w:rsid w:val="00B45282"/>
    <w:rsid w:val="00B465EE"/>
    <w:rsid w:val="00B77163"/>
    <w:rsid w:val="00B81286"/>
    <w:rsid w:val="00B86369"/>
    <w:rsid w:val="00B94DAE"/>
    <w:rsid w:val="00B971BE"/>
    <w:rsid w:val="00BA6D6E"/>
    <w:rsid w:val="00BB05D8"/>
    <w:rsid w:val="00BB4F31"/>
    <w:rsid w:val="00BB77C5"/>
    <w:rsid w:val="00BC0AFB"/>
    <w:rsid w:val="00BD423D"/>
    <w:rsid w:val="00BE39BC"/>
    <w:rsid w:val="00BF5DF0"/>
    <w:rsid w:val="00C01EB8"/>
    <w:rsid w:val="00C33039"/>
    <w:rsid w:val="00C5512A"/>
    <w:rsid w:val="00C60476"/>
    <w:rsid w:val="00C628C1"/>
    <w:rsid w:val="00C67EA6"/>
    <w:rsid w:val="00C87A54"/>
    <w:rsid w:val="00CA7FCD"/>
    <w:rsid w:val="00CB7D6A"/>
    <w:rsid w:val="00CC686E"/>
    <w:rsid w:val="00CD23BD"/>
    <w:rsid w:val="00CF21A1"/>
    <w:rsid w:val="00D03ED4"/>
    <w:rsid w:val="00D16358"/>
    <w:rsid w:val="00D33759"/>
    <w:rsid w:val="00D3583B"/>
    <w:rsid w:val="00D361B3"/>
    <w:rsid w:val="00D5172F"/>
    <w:rsid w:val="00D522E1"/>
    <w:rsid w:val="00D6268A"/>
    <w:rsid w:val="00D66B2A"/>
    <w:rsid w:val="00D72A18"/>
    <w:rsid w:val="00DA0DD2"/>
    <w:rsid w:val="00DA2128"/>
    <w:rsid w:val="00DA3EBA"/>
    <w:rsid w:val="00DA4AA0"/>
    <w:rsid w:val="00DA6E8B"/>
    <w:rsid w:val="00DC25FA"/>
    <w:rsid w:val="00DE215D"/>
    <w:rsid w:val="00DE32E1"/>
    <w:rsid w:val="00DE5AC7"/>
    <w:rsid w:val="00DF0E14"/>
    <w:rsid w:val="00DF3966"/>
    <w:rsid w:val="00DF5992"/>
    <w:rsid w:val="00E11140"/>
    <w:rsid w:val="00E24E00"/>
    <w:rsid w:val="00E3559C"/>
    <w:rsid w:val="00E372BC"/>
    <w:rsid w:val="00E44D77"/>
    <w:rsid w:val="00E46A55"/>
    <w:rsid w:val="00E55830"/>
    <w:rsid w:val="00E73D24"/>
    <w:rsid w:val="00EA2DE8"/>
    <w:rsid w:val="00EB09E4"/>
    <w:rsid w:val="00EB6BD7"/>
    <w:rsid w:val="00EB6D45"/>
    <w:rsid w:val="00EC35CB"/>
    <w:rsid w:val="00EC7BD3"/>
    <w:rsid w:val="00ED1414"/>
    <w:rsid w:val="00ED71F5"/>
    <w:rsid w:val="00EE182F"/>
    <w:rsid w:val="00EE55A6"/>
    <w:rsid w:val="00EF3D3C"/>
    <w:rsid w:val="00F00964"/>
    <w:rsid w:val="00F073FD"/>
    <w:rsid w:val="00F17E35"/>
    <w:rsid w:val="00F20C53"/>
    <w:rsid w:val="00F23BAD"/>
    <w:rsid w:val="00F309A2"/>
    <w:rsid w:val="00F32796"/>
    <w:rsid w:val="00F41288"/>
    <w:rsid w:val="00F41F5D"/>
    <w:rsid w:val="00F42DA7"/>
    <w:rsid w:val="00F67B6C"/>
    <w:rsid w:val="00F75695"/>
    <w:rsid w:val="00F8458D"/>
    <w:rsid w:val="00F8610A"/>
    <w:rsid w:val="00F86427"/>
    <w:rsid w:val="00FA0D92"/>
    <w:rsid w:val="00FA74BC"/>
    <w:rsid w:val="00FB4467"/>
    <w:rsid w:val="00FD49F4"/>
    <w:rsid w:val="00FD4CF8"/>
    <w:rsid w:val="00FD580B"/>
    <w:rsid w:val="00FE3650"/>
    <w:rsid w:val="00FE6BE3"/>
    <w:rsid w:val="00FF1161"/>
    <w:rsid w:val="00FF598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91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E38"/>
    <w:pPr>
      <w:overflowPunct w:val="0"/>
      <w:autoSpaceDE w:val="0"/>
      <w:autoSpaceDN w:val="0"/>
      <w:adjustRightInd w:val="0"/>
      <w:textAlignment w:val="baseline"/>
    </w:pPr>
    <w:rPr>
      <w:sz w:val="24"/>
      <w:lang w:eastAsia="en-US"/>
    </w:rPr>
  </w:style>
  <w:style w:type="paragraph" w:styleId="Heading1">
    <w:name w:val="heading 1"/>
    <w:aliases w:val="Art One,H2"/>
    <w:basedOn w:val="Normal"/>
    <w:next w:val="Normal"/>
    <w:link w:val="Heading1Char"/>
    <w:qFormat/>
    <w:rsid w:val="00605E38"/>
    <w:pPr>
      <w:keepNext/>
      <w:jc w:val="center"/>
      <w:outlineLvl w:val="0"/>
    </w:pPr>
    <w:rPr>
      <w:b/>
      <w:sz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05E38"/>
    <w:pPr>
      <w:jc w:val="both"/>
    </w:pPr>
  </w:style>
  <w:style w:type="paragraph" w:styleId="Header">
    <w:name w:val="header"/>
    <w:basedOn w:val="Normal"/>
    <w:rsid w:val="000E05EE"/>
    <w:pPr>
      <w:tabs>
        <w:tab w:val="center" w:pos="4153"/>
        <w:tab w:val="right" w:pos="8306"/>
      </w:tabs>
    </w:pPr>
  </w:style>
  <w:style w:type="paragraph" w:styleId="Footer">
    <w:name w:val="footer"/>
    <w:basedOn w:val="Normal"/>
    <w:rsid w:val="000E05EE"/>
    <w:pPr>
      <w:tabs>
        <w:tab w:val="center" w:pos="4153"/>
        <w:tab w:val="right" w:pos="8306"/>
      </w:tabs>
    </w:pPr>
  </w:style>
  <w:style w:type="paragraph" w:styleId="BalloonText">
    <w:name w:val="Balloon Text"/>
    <w:basedOn w:val="Normal"/>
    <w:link w:val="BalloonTextChar"/>
    <w:rsid w:val="00A97CA9"/>
    <w:rPr>
      <w:rFonts w:ascii="Tahoma" w:hAnsi="Tahoma" w:cs="Tahoma"/>
      <w:sz w:val="16"/>
      <w:szCs w:val="16"/>
      <w:lang w:eastAsia="x-none"/>
    </w:rPr>
  </w:style>
  <w:style w:type="character" w:customStyle="1" w:styleId="BalloonTextChar">
    <w:name w:val="Balloon Text Char"/>
    <w:link w:val="BalloonText"/>
    <w:rsid w:val="00A97CA9"/>
    <w:rPr>
      <w:rFonts w:ascii="Tahoma" w:hAnsi="Tahoma" w:cs="Tahoma"/>
      <w:sz w:val="16"/>
      <w:szCs w:val="16"/>
      <w:lang w:val="en-GB" w:bidi="ar-SA"/>
    </w:rPr>
  </w:style>
  <w:style w:type="character" w:styleId="CommentReference">
    <w:name w:val="annotation reference"/>
    <w:rsid w:val="00F86427"/>
    <w:rPr>
      <w:sz w:val="16"/>
      <w:szCs w:val="16"/>
    </w:rPr>
  </w:style>
  <w:style w:type="paragraph" w:styleId="CommentText">
    <w:name w:val="annotation text"/>
    <w:basedOn w:val="Normal"/>
    <w:link w:val="CommentTextChar"/>
    <w:rsid w:val="00F86427"/>
    <w:rPr>
      <w:sz w:val="20"/>
      <w:lang w:val="x-none" w:bidi="he-IL"/>
    </w:rPr>
  </w:style>
  <w:style w:type="character" w:customStyle="1" w:styleId="CommentTextChar">
    <w:name w:val="Comment Text Char"/>
    <w:link w:val="CommentText"/>
    <w:rsid w:val="00F86427"/>
    <w:rPr>
      <w:lang w:eastAsia="en-US"/>
    </w:rPr>
  </w:style>
  <w:style w:type="paragraph" w:styleId="CommentSubject">
    <w:name w:val="annotation subject"/>
    <w:basedOn w:val="CommentText"/>
    <w:next w:val="CommentText"/>
    <w:link w:val="CommentSubjectChar"/>
    <w:rsid w:val="00F86427"/>
    <w:rPr>
      <w:b/>
      <w:bCs/>
    </w:rPr>
  </w:style>
  <w:style w:type="character" w:customStyle="1" w:styleId="CommentSubjectChar">
    <w:name w:val="Comment Subject Char"/>
    <w:link w:val="CommentSubject"/>
    <w:rsid w:val="00F86427"/>
    <w:rPr>
      <w:b/>
      <w:bCs/>
      <w:lang w:eastAsia="en-US"/>
    </w:rPr>
  </w:style>
  <w:style w:type="character" w:customStyle="1" w:styleId="Heading1Char">
    <w:name w:val="Heading 1 Char"/>
    <w:aliases w:val="Art One Char,H2 Char"/>
    <w:link w:val="Heading1"/>
    <w:rsid w:val="004C7A4B"/>
    <w:rPr>
      <w:b/>
      <w:lang w:val="en-GB" w:bidi="ar-SA"/>
    </w:rPr>
  </w:style>
  <w:style w:type="paragraph" w:styleId="ListParagraph">
    <w:name w:val="List Paragraph"/>
    <w:basedOn w:val="Normal"/>
    <w:uiPriority w:val="34"/>
    <w:qFormat/>
    <w:rsid w:val="003E17D7"/>
    <w:pPr>
      <w:overflowPunct/>
      <w:autoSpaceDE/>
      <w:autoSpaceDN/>
      <w:adjustRightInd/>
      <w:spacing w:after="200" w:line="276" w:lineRule="auto"/>
      <w:ind w:left="720"/>
      <w:contextualSpacing/>
      <w:textAlignment w:val="auto"/>
    </w:pPr>
    <w:rPr>
      <w:rFonts w:ascii="Calibri" w:eastAsia="Calibri" w:hAnsi="Calibri" w:cs="Arial"/>
      <w:sz w:val="22"/>
      <w:szCs w:val="22"/>
    </w:rPr>
  </w:style>
  <w:style w:type="character" w:customStyle="1" w:styleId="BodyTextChar">
    <w:name w:val="Body Text Char"/>
    <w:basedOn w:val="DefaultParagraphFont"/>
    <w:link w:val="BodyText"/>
    <w:rsid w:val="00B77163"/>
    <w:rPr>
      <w:sz w:val="24"/>
      <w:lang w:eastAsia="en-US"/>
    </w:rPr>
  </w:style>
  <w:style w:type="table" w:styleId="TableGrid">
    <w:name w:val="Table Grid"/>
    <w:basedOn w:val="TableNormal"/>
    <w:rsid w:val="00B77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
    <w:name w:val="br"/>
    <w:basedOn w:val="DefaultParagraphFont"/>
    <w:rsid w:val="007673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E38"/>
    <w:pPr>
      <w:overflowPunct w:val="0"/>
      <w:autoSpaceDE w:val="0"/>
      <w:autoSpaceDN w:val="0"/>
      <w:adjustRightInd w:val="0"/>
      <w:textAlignment w:val="baseline"/>
    </w:pPr>
    <w:rPr>
      <w:sz w:val="24"/>
      <w:lang w:eastAsia="en-US"/>
    </w:rPr>
  </w:style>
  <w:style w:type="paragraph" w:styleId="Heading1">
    <w:name w:val="heading 1"/>
    <w:aliases w:val="Art One,H2"/>
    <w:basedOn w:val="Normal"/>
    <w:next w:val="Normal"/>
    <w:link w:val="Heading1Char"/>
    <w:qFormat/>
    <w:rsid w:val="00605E38"/>
    <w:pPr>
      <w:keepNext/>
      <w:jc w:val="center"/>
      <w:outlineLvl w:val="0"/>
    </w:pPr>
    <w:rPr>
      <w:b/>
      <w:sz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05E38"/>
    <w:pPr>
      <w:jc w:val="both"/>
    </w:pPr>
  </w:style>
  <w:style w:type="paragraph" w:styleId="Header">
    <w:name w:val="header"/>
    <w:basedOn w:val="Normal"/>
    <w:rsid w:val="000E05EE"/>
    <w:pPr>
      <w:tabs>
        <w:tab w:val="center" w:pos="4153"/>
        <w:tab w:val="right" w:pos="8306"/>
      </w:tabs>
    </w:pPr>
  </w:style>
  <w:style w:type="paragraph" w:styleId="Footer">
    <w:name w:val="footer"/>
    <w:basedOn w:val="Normal"/>
    <w:rsid w:val="000E05EE"/>
    <w:pPr>
      <w:tabs>
        <w:tab w:val="center" w:pos="4153"/>
        <w:tab w:val="right" w:pos="8306"/>
      </w:tabs>
    </w:pPr>
  </w:style>
  <w:style w:type="paragraph" w:styleId="BalloonText">
    <w:name w:val="Balloon Text"/>
    <w:basedOn w:val="Normal"/>
    <w:link w:val="BalloonTextChar"/>
    <w:rsid w:val="00A97CA9"/>
    <w:rPr>
      <w:rFonts w:ascii="Tahoma" w:hAnsi="Tahoma" w:cs="Tahoma"/>
      <w:sz w:val="16"/>
      <w:szCs w:val="16"/>
      <w:lang w:eastAsia="x-none"/>
    </w:rPr>
  </w:style>
  <w:style w:type="character" w:customStyle="1" w:styleId="BalloonTextChar">
    <w:name w:val="Balloon Text Char"/>
    <w:link w:val="BalloonText"/>
    <w:rsid w:val="00A97CA9"/>
    <w:rPr>
      <w:rFonts w:ascii="Tahoma" w:hAnsi="Tahoma" w:cs="Tahoma"/>
      <w:sz w:val="16"/>
      <w:szCs w:val="16"/>
      <w:lang w:val="en-GB" w:bidi="ar-SA"/>
    </w:rPr>
  </w:style>
  <w:style w:type="character" w:styleId="CommentReference">
    <w:name w:val="annotation reference"/>
    <w:rsid w:val="00F86427"/>
    <w:rPr>
      <w:sz w:val="16"/>
      <w:szCs w:val="16"/>
    </w:rPr>
  </w:style>
  <w:style w:type="paragraph" w:styleId="CommentText">
    <w:name w:val="annotation text"/>
    <w:basedOn w:val="Normal"/>
    <w:link w:val="CommentTextChar"/>
    <w:rsid w:val="00F86427"/>
    <w:rPr>
      <w:sz w:val="20"/>
      <w:lang w:val="x-none" w:bidi="he-IL"/>
    </w:rPr>
  </w:style>
  <w:style w:type="character" w:customStyle="1" w:styleId="CommentTextChar">
    <w:name w:val="Comment Text Char"/>
    <w:link w:val="CommentText"/>
    <w:rsid w:val="00F86427"/>
    <w:rPr>
      <w:lang w:eastAsia="en-US"/>
    </w:rPr>
  </w:style>
  <w:style w:type="paragraph" w:styleId="CommentSubject">
    <w:name w:val="annotation subject"/>
    <w:basedOn w:val="CommentText"/>
    <w:next w:val="CommentText"/>
    <w:link w:val="CommentSubjectChar"/>
    <w:rsid w:val="00F86427"/>
    <w:rPr>
      <w:b/>
      <w:bCs/>
    </w:rPr>
  </w:style>
  <w:style w:type="character" w:customStyle="1" w:styleId="CommentSubjectChar">
    <w:name w:val="Comment Subject Char"/>
    <w:link w:val="CommentSubject"/>
    <w:rsid w:val="00F86427"/>
    <w:rPr>
      <w:b/>
      <w:bCs/>
      <w:lang w:eastAsia="en-US"/>
    </w:rPr>
  </w:style>
  <w:style w:type="character" w:customStyle="1" w:styleId="Heading1Char">
    <w:name w:val="Heading 1 Char"/>
    <w:aliases w:val="Art One Char,H2 Char"/>
    <w:link w:val="Heading1"/>
    <w:rsid w:val="004C7A4B"/>
    <w:rPr>
      <w:b/>
      <w:lang w:val="en-GB" w:bidi="ar-SA"/>
    </w:rPr>
  </w:style>
  <w:style w:type="paragraph" w:styleId="ListParagraph">
    <w:name w:val="List Paragraph"/>
    <w:basedOn w:val="Normal"/>
    <w:uiPriority w:val="34"/>
    <w:qFormat/>
    <w:rsid w:val="003E17D7"/>
    <w:pPr>
      <w:overflowPunct/>
      <w:autoSpaceDE/>
      <w:autoSpaceDN/>
      <w:adjustRightInd/>
      <w:spacing w:after="200" w:line="276" w:lineRule="auto"/>
      <w:ind w:left="720"/>
      <w:contextualSpacing/>
      <w:textAlignment w:val="auto"/>
    </w:pPr>
    <w:rPr>
      <w:rFonts w:ascii="Calibri" w:eastAsia="Calibri" w:hAnsi="Calibri" w:cs="Arial"/>
      <w:sz w:val="22"/>
      <w:szCs w:val="22"/>
    </w:rPr>
  </w:style>
  <w:style w:type="character" w:customStyle="1" w:styleId="BodyTextChar">
    <w:name w:val="Body Text Char"/>
    <w:basedOn w:val="DefaultParagraphFont"/>
    <w:link w:val="BodyText"/>
    <w:rsid w:val="00B77163"/>
    <w:rPr>
      <w:sz w:val="24"/>
      <w:lang w:eastAsia="en-US"/>
    </w:rPr>
  </w:style>
  <w:style w:type="table" w:styleId="TableGrid">
    <w:name w:val="Table Grid"/>
    <w:basedOn w:val="TableNormal"/>
    <w:rsid w:val="00B77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
    <w:name w:val="br"/>
    <w:basedOn w:val="DefaultParagraphFont"/>
    <w:rsid w:val="00767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81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1219</Words>
  <Characters>6100</Characters>
  <Application>Microsoft Office Word</Application>
  <DocSecurity>0</DocSecurity>
  <Lines>50</Lines>
  <Paragraphs>14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Amiad - Form of Proxy - [BC]</vt:lpstr>
    </vt:vector>
  </TitlesOfParts>
  <Company/>
  <LinksUpToDate>false</LinksUpToDate>
  <CharactersWithSpaces>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1001/1.3</dc:subject>
  <dc:creator>NBA</dc:creator>
  <cp:lastModifiedBy>Tuvia</cp:lastModifiedBy>
  <cp:revision>5</cp:revision>
  <cp:lastPrinted>2019-05-01T20:51:00Z</cp:lastPrinted>
  <dcterms:created xsi:type="dcterms:W3CDTF">2019-05-01T20:48:00Z</dcterms:created>
  <dcterms:modified xsi:type="dcterms:W3CDTF">2019-05-01T20:51:00Z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0FAAcuWl1SbNzhGboqrku/xT4TCoBRFZpxo8dQLSAWxWIEgdqNXwkBkOQGvGHcmCiNEOtF0BwJ4LNSyJ_x000d_
GYshYxHTB/rc/qN29EXenZmSAj52xzIgMmSJ4ZzBrG0GtM3P5mTgZWq2iDbGp8oDkFM+9oy/rIap_x000d_
ADc5AhQIhhVkgMfuzE1NyYiwUhrX5BoODCPDVw6s00VZ9DPbIisc3z+mU20bmkkZCgkZI6K6kHxy_x000d_
iOdVOazdngLzLB0eD</vt:lpwstr>
  </property>
  <property fmtid="{D5CDD505-2E9C-101B-9397-08002B2CF9AE}" pid="3" name="MAIL_MSG_ID2">
    <vt:lpwstr>CL/8dfPsK/7eXJgn43D6G1XDyZXl0Z9Low6jOa2kOWT2dNu5Uy82oCOIG83_x000d_
CX0rIti7RTKGn5HVaelA/fdT24rB6MmZsAAXLDyKKOVk4jYVP3Pft5FsoJk=</vt:lpwstr>
  </property>
  <property fmtid="{D5CDD505-2E9C-101B-9397-08002B2CF9AE}" pid="4" name="RESPONSE_SENDER_NAME">
    <vt:lpwstr>sAAAXRTqSjcrLArVuSMU0jibSBHPfeB7w6toeaUwBvFuxb8=</vt:lpwstr>
  </property>
  <property fmtid="{D5CDD505-2E9C-101B-9397-08002B2CF9AE}" pid="5" name="EMAIL_OWNER_ADDRESS">
    <vt:lpwstr>4AAAUmLmXdMZevSWT5BlH7Rk84ifuOzauUdMqbtq7U+DtpxWgKDMLcitLQ==</vt:lpwstr>
  </property>
  <property fmtid="{D5CDD505-2E9C-101B-9397-08002B2CF9AE}" pid="6" name="CustomFooter">
    <vt:lpwstr>Legal.42234234.1/GJON/23472.00003</vt:lpwstr>
  </property>
  <property fmtid="{D5CDD505-2E9C-101B-9397-08002B2CF9AE}" pid="7" name="Keywords">
    <vt:lpwstr>42234234.1</vt:lpwstr>
  </property>
  <property fmtid="{D5CDD505-2E9C-101B-9397-08002B2CF9AE}" pid="8" name="VersionCreated">
    <vt:lpwstr>19.06.15</vt:lpwstr>
  </property>
  <property fmtid="{D5CDD505-2E9C-101B-9397-08002B2CF9AE}" pid="9" name="CreateDate">
    <vt:lpwstr>19.06.15</vt:lpwstr>
  </property>
  <property fmtid="{D5CDD505-2E9C-101B-9397-08002B2CF9AE}" pid="10" name="WS_TRACKING_ID">
    <vt:lpwstr>b551050e-76c5-46d6-aa21-39665c8947e6</vt:lpwstr>
  </property>
  <property fmtid="{D5CDD505-2E9C-101B-9397-08002B2CF9AE}" pid="11" name="lqminfo">
    <vt:i4>4</vt:i4>
  </property>
  <property fmtid="{D5CDD505-2E9C-101B-9397-08002B2CF9AE}" pid="12" name="lqmsess">
    <vt:lpwstr>9f08fd16-5c12-4bfb-b78b-2c81add00a58</vt:lpwstr>
  </property>
</Properties>
</file>