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695.xml.htm"/>
      <w:bookmarkStart w:id="1" w:name="kszk26356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Niri Sagi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 YIGAL ALON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6789124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Nexxen International Ltd.</w:t>
              </w:r>
            </w:hyperlink>
            <w:r>
              <w:rPr/>
              <w:t xml:space="preserve"> [ </w:t>
            </w:r>
            <w:r>
              <w:rPr>
                <w:rFonts w:ascii="Times;serif" w:hAnsi="Times;serif"/>
                <w:color w:val="0000FF"/>
                <w:sz w:val="24"/>
                <w:shd w:fill="FFFFFF" w:val="clear"/>
              </w:rPr>
              <w:t>NEXN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924"/>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71,845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9.9585</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213,566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10.1585</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198,898</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17,421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10.1585</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181,477</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10.1585</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179,066</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08/19/2025.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Shai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hibit_24.htm"/>
      <w:bookmarkStart w:id="3" w:name="ksexhibit_24"/>
      <w:bookmarkEnd w:id="2"/>
      <w:bookmarkEnd w:id="3"/>
      <w:r>
        <w:rPr/>
        <w:t> </w:t>
      </w:r>
      <w:r>
        <w:br w:type="page"/>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SECTION 16 AND FORM 144</w:t>
        <w:br/>
        <w:t>POWER OF ATTORNEY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Nexxen International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undersigned hereby constitutes and appoints the individuals named on </w:t>
      </w: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execute for and on behalf of the undersigned, Schedules 13D and 13G in accordance with Section 13 of the Securities Exchange Act of 1934, as amended (the “</w:t>
            </w:r>
            <w:r>
              <w:rPr>
                <w:b/>
                <w:i/>
              </w:rPr>
              <w:t>Exchange Act</w:t>
            </w:r>
            <w:r>
              <w:rPr/>
              <w:t>”), and the rules thereunder, and Forms 3, 4, and 5 in accordance with Section 16 of the Exchange Act and the rules thereunder, and Notices of Proposed Sale of Securities Pursuant to Rule 144 (“</w:t>
            </w:r>
            <w:r>
              <w:rPr>
                <w:b/>
                <w:i/>
              </w:rPr>
              <w:t>Form 144</w:t>
            </w:r>
            <w:r>
              <w:rPr/>
              <w:t>”), in accordance with the requirements of Rule 144 under the Securities Act of 1933, as amended (the “</w:t>
            </w:r>
            <w:r>
              <w:rPr>
                <w:b/>
                <w:i/>
              </w:rPr>
              <w:t>Securities Act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drawing>
          <wp:inline distT="0" distB="0" distL="0" distR="0">
            <wp:extent cx="2314575" cy="1381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2314575" cy="1381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INDIVIDUALS APPOINTED AS ATTORNEY-IN-FACT,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FULL POWER OF SUBSTITUTION AND RESUBSTITUTION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Allison Zolot, Chief Legal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Shai Shulman, Senior Corporate Counsel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Maricela Zevala, Contracts &amp; Admin Assistant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0194" TargetMode="External"/><Relationship Id="rId5" Type="http://schemas.openxmlformats.org/officeDocument/2006/relationships/hyperlink" Target="http://www.sec.gov/cgi-bin/browse-edgar?action=getcompany&amp;CIK=00018493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1136</Words>
  <Characters>5970</Characters>
  <CharactersWithSpaces>7055</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