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635922.htm"/>
      <w:bookmarkStart w:id="1" w:name="kszk2635922"/>
      <w:bookmarkStart w:id="2" w:name="zk2635922.htm"/>
      <w:bookmarkStart w:id="3" w:name="kszk2635922"/>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UNITED STATES</w:t>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SECURITIES AND EXCHANGE COMMISSION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Washington, D.C. 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REPORT OF FOREIGN PRIVATE ISSUER PURSUANT TO RULE 13a-16 OR 15d-16 OF</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 the Month of August 2026</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Commission File Number 001-40504</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Nexxen International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82 Yigal Alon Street, Tel Aviv 6789124, Israel</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ind w:left="0" w:right="0" w:hanging="0"/>
        <w:jc w:val="center"/>
        <w:rPr>
          <w:rFonts w:ascii="Times New Roman;Times;serif" w:hAnsi="Times New Roman;Times;serif"/>
          <w:color w:val="000000"/>
          <w:sz w:val="20"/>
        </w:rPr>
      </w:pPr>
      <w:r>
        <w:rPr>
          <w:rFonts w:ascii="Times New Roman;Times;serif" w:hAnsi="Times New Roman;Times;serif"/>
          <w:b w:val="false"/>
          <w:i w:val="false"/>
          <w:caps w:val="false"/>
          <w:smallCaps w:val="false"/>
          <w:color w:val="000000"/>
          <w:spacing w:val="0"/>
          <w:sz w:val="20"/>
          <w:shd w:fill="FFFFFF" w:val="clear"/>
        </w:rPr>
        <w:t>Form 20-F ☒        Form 40-F ☐</w:t>
      </w:r>
      <w:r>
        <w:rPr>
          <w:rFonts w:ascii="Times New Roman;Times;serif" w:hAnsi="Times New Roman;Times;serif"/>
          <w:color w:val="000000"/>
          <w:sz w:val="20"/>
        </w:rPr>
        <w:t xml:space="preserve"> </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if the registrant is submitting the Form 6-K in paper as permitted by Regulation S-T Rule 101(b)(1):  ☐</w:t>
      </w:r>
    </w:p>
    <w:p>
      <w:pPr>
        <w:pStyle w:val="TextBody"/>
        <w:bidi w:val="0"/>
        <w:spacing w:lineRule="auto" w:line="300" w:before="0" w:after="0"/>
        <w:jc w:val="both"/>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Indicate by check mark if the registrant is submitting the Form 6-K in paper as permitted by Regulation S-T Rule 101(b)(7):  ☐</w:t>
      </w:r>
    </w:p>
    <w:p>
      <w:pPr>
        <w:pStyle w:val="TextBody"/>
        <w:bidi w:val="0"/>
        <w:spacing w:lineRule="auto" w:line="300" w:before="0" w:after="0"/>
        <w:jc w:val="both"/>
        <w:rPr>
          <w:rFonts w:ascii="Segoe UI Symbol;sans-serif" w:hAnsi="Segoe UI Symbol;sans-serif"/>
        </w:rPr>
      </w:pPr>
      <w:r>
        <w:rPr>
          <w:rFonts w:ascii="Segoe UI Symbol;sans-serif" w:hAnsi="Segoe UI Symbol;sans-serif"/>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Explanatory Note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On August 12, 2026, the Company issued an announcement titled “Nexxen Reports Record Second Quarter 2026 Financial Results”, a copy of which is attached as Exhibit 99.1 to this Form 6-K. The Company also announced a change in its commercial leadership team. Chance Johnson, formerly the Company’s Chief Commercial Officer, has been promoted to President of the Company.</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IFRS financial information contained in the (i) condensed consolidated interim statements of financial position as of June 30, 2026 and December 31, 2025 (unaudited), (ii) condensed consolidated interim statements of operation and other comprehensive income (loss) for the three and six months ended June 30, 2026 and 2025 (unaudited), (iii) condensed consolidated interim statements of changes in equity (unaudited), and (iv) condensed consolidated interim  statements of cash flows for the six months ended June 30, 2026 and 2025 (unaudited) included in the press release attached as Exhibit 99.1 to this Report on Form 6-K are hereby incorporated by reference into the Company’s Registration Statements on Form S-8 (File No. 333-258731, File No. 333-277709 and File No. 333-285552) and shall be deemed to be a part thereof from the date on which this report is filed, to the extent not superseded by documents or reports subsequently filed or furnished.</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following exhibit is furnished as part of this Form 6-K:</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f04970510a2144b0b2305ac73caa9fe3"/>
      <w:bookmarkStart w:id="5" w:name="zf04970510a2144b0b2305ac73caa9fe3"/>
      <w:bookmarkEnd w:id="5"/>
    </w:p>
    <w:tbl>
      <w:tblPr>
        <w:tblW w:w="10205" w:type="dxa"/>
        <w:jc w:val="left"/>
        <w:tblInd w:w="0" w:type="dxa"/>
        <w:tblLayout w:type="fixed"/>
        <w:tblCellMar>
          <w:top w:w="0" w:type="dxa"/>
          <w:left w:w="0" w:type="dxa"/>
          <w:bottom w:w="0" w:type="dxa"/>
          <w:right w:w="0" w:type="dxa"/>
        </w:tblCellMar>
      </w:tblPr>
      <w:tblGrid>
        <w:gridCol w:w="1093"/>
        <w:gridCol w:w="9112"/>
      </w:tblGrid>
      <w:tr>
        <w:trPr/>
        <w:tc>
          <w:tcPr>
            <w:tcW w:w="1093" w:type="dxa"/>
            <w:tcBorders/>
            <w:vAlign w:val="center"/>
          </w:tcPr>
          <w:p>
            <w:pPr>
              <w:pStyle w:val="TableContents"/>
              <w:bidi w:val="0"/>
              <w:spacing w:lineRule="auto" w:line="300" w:before="0" w:after="0"/>
              <w:jc w:val="left"/>
              <w:rPr/>
            </w:pPr>
            <w:r>
              <w:rPr/>
              <w:t>Exhibit 99.1</w:t>
            </w:r>
          </w:p>
        </w:tc>
        <w:tc>
          <w:tcPr>
            <w:tcW w:w="9112" w:type="dxa"/>
            <w:tcBorders/>
            <w:vAlign w:val="center"/>
          </w:tcPr>
          <w:p>
            <w:pPr>
              <w:pStyle w:val="TableContents"/>
              <w:bidi w:val="0"/>
              <w:spacing w:lineRule="auto" w:line="300" w:before="0" w:after="0"/>
              <w:jc w:val="left"/>
              <w:rPr/>
            </w:pPr>
            <w:r>
              <w:rPr/>
              <w:t>Company announcement dated August 12, 2026, “Nexxen Reports Record Second Quarter 2026 Financial Results”.</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ind w:left="0" w:right="0" w:firstLine="554"/>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TextBody"/>
        <w:bidi w:val="0"/>
        <w:spacing w:lineRule="auto" w:line="300" w:before="0" w:after="0"/>
        <w:ind w:left="0" w:right="36" w:hanging="0"/>
        <w:jc w:val="both"/>
        <w:rPr>
          <w:rFonts w:ascii="Times New Roman;Times;serif" w:hAnsi="Times New Roman;Times;serif"/>
          <w:b/>
          <w:color w:val="000000"/>
          <w:sz w:val="20"/>
        </w:rPr>
      </w:pPr>
      <w:r>
        <w:rPr>
          <w:rFonts w:ascii="Times New Roman;Times;serif" w:hAnsi="Times New Roman;Times;serif"/>
          <w:b/>
          <w:color w:val="000000"/>
          <w:sz w:val="20"/>
        </w:rPr>
        <w:t>Nexxen International Ltd.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 w:name="zfe385e57fe314e52bd41efff71ad0794"/>
      <w:bookmarkStart w:id="7" w:name="zfe385e57fe314e52bd41efff71ad0794"/>
      <w:bookmarkEnd w:id="7"/>
    </w:p>
    <w:tbl>
      <w:tblPr>
        <w:tblW w:w="2860" w:type="dxa"/>
        <w:jc w:val="left"/>
        <w:tblInd w:w="0" w:type="dxa"/>
        <w:tblLayout w:type="fixed"/>
        <w:tblCellMar>
          <w:top w:w="0" w:type="dxa"/>
          <w:left w:w="0" w:type="dxa"/>
          <w:bottom w:w="0" w:type="dxa"/>
          <w:right w:w="0" w:type="dxa"/>
        </w:tblCellMar>
      </w:tblPr>
      <w:tblGrid>
        <w:gridCol w:w="650"/>
        <w:gridCol w:w="2210"/>
      </w:tblGrid>
      <w:tr>
        <w:trPr/>
        <w:tc>
          <w:tcPr>
            <w:tcW w:w="650" w:type="dxa"/>
            <w:tcBorders/>
            <w:vAlign w:val="center"/>
          </w:tcPr>
          <w:p>
            <w:pPr>
              <w:pStyle w:val="TableContents"/>
              <w:bidi w:val="0"/>
              <w:spacing w:before="0" w:after="283"/>
              <w:jc w:val="left"/>
              <w:rPr/>
            </w:pPr>
            <w:r>
              <w:rPr/>
              <w:t>By:</w:t>
            </w:r>
          </w:p>
        </w:tc>
        <w:tc>
          <w:tcPr>
            <w:tcW w:w="2210" w:type="dxa"/>
            <w:tcBorders/>
            <w:vAlign w:val="center"/>
          </w:tcPr>
          <w:p>
            <w:pPr>
              <w:pStyle w:val="TableContents"/>
              <w:bidi w:val="0"/>
              <w:spacing w:before="0" w:after="283"/>
              <w:jc w:val="left"/>
              <w:rPr>
                <w:u w:val="single"/>
              </w:rPr>
            </w:pPr>
            <w:r>
              <w:rPr>
                <w:u w:val="single"/>
              </w:rPr>
              <w:t>/S/ Sagi Niri</w:t>
            </w:r>
          </w:p>
        </w:tc>
      </w:tr>
      <w:tr>
        <w:trPr/>
        <w:tc>
          <w:tcPr>
            <w:tcW w:w="650" w:type="dxa"/>
            <w:tcBorders/>
            <w:vAlign w:val="center"/>
          </w:tcPr>
          <w:p>
            <w:pPr>
              <w:pStyle w:val="TableContents"/>
              <w:bidi w:val="0"/>
              <w:spacing w:before="0" w:after="283"/>
              <w:jc w:val="left"/>
              <w:rPr/>
            </w:pPr>
            <w:r>
              <w:rPr/>
              <w:t>Name:</w:t>
            </w:r>
          </w:p>
        </w:tc>
        <w:tc>
          <w:tcPr>
            <w:tcW w:w="2210" w:type="dxa"/>
            <w:tcBorders/>
            <w:vAlign w:val="center"/>
          </w:tcPr>
          <w:p>
            <w:pPr>
              <w:pStyle w:val="TableContents"/>
              <w:bidi w:val="0"/>
              <w:spacing w:before="0" w:after="0"/>
              <w:jc w:val="left"/>
              <w:rPr/>
            </w:pPr>
            <w:r>
              <w:rPr/>
              <w:t>Sagi Niri</w:t>
            </w:r>
          </w:p>
        </w:tc>
      </w:tr>
      <w:tr>
        <w:trPr/>
        <w:tc>
          <w:tcPr>
            <w:tcW w:w="650" w:type="dxa"/>
            <w:tcBorders/>
            <w:vAlign w:val="center"/>
          </w:tcPr>
          <w:p>
            <w:pPr>
              <w:pStyle w:val="TableContents"/>
              <w:bidi w:val="0"/>
              <w:spacing w:before="0" w:after="283"/>
              <w:jc w:val="left"/>
              <w:rPr/>
            </w:pPr>
            <w:r>
              <w:rPr/>
              <w:t>Title:</w:t>
            </w:r>
          </w:p>
        </w:tc>
        <w:tc>
          <w:tcPr>
            <w:tcW w:w="2210"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Date: August 12, 2026</w:t>
      </w:r>
    </w:p>
    <w:p>
      <w:pPr>
        <w:pStyle w:val="TextBody"/>
        <w:bidi w:val="0"/>
        <w:spacing w:lineRule="auto" w:line="300" w:before="0" w:after="0"/>
        <w:ind w:left="0" w:right="0" w:firstLine="724"/>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 w:name="z4bf7dfc41c634af1a284a5a17a11b7b8"/>
      <w:bookmarkStart w:id="9" w:name="z4bf7dfc41c634af1a284a5a17a11b7b8"/>
      <w:bookmarkEnd w:id="9"/>
    </w:p>
    <w:tbl>
      <w:tblPr>
        <w:tblW w:w="10205" w:type="dxa"/>
        <w:jc w:val="left"/>
        <w:tblInd w:w="0" w:type="dxa"/>
        <w:tblLayout w:type="fixed"/>
        <w:tblCellMar>
          <w:top w:w="0" w:type="dxa"/>
          <w:left w:w="0" w:type="dxa"/>
          <w:bottom w:w="0" w:type="dxa"/>
          <w:right w:w="0" w:type="dxa"/>
        </w:tblCellMar>
      </w:tblPr>
      <w:tblGrid>
        <w:gridCol w:w="1124"/>
        <w:gridCol w:w="60"/>
        <w:gridCol w:w="9021"/>
      </w:tblGrid>
      <w:tr>
        <w:trPr/>
        <w:tc>
          <w:tcPr>
            <w:tcW w:w="1124" w:type="dxa"/>
            <w:tcBorders/>
            <w:vAlign w:val="center"/>
          </w:tcPr>
          <w:p>
            <w:pPr>
              <w:pStyle w:val="TableContents"/>
              <w:bidi w:val="0"/>
              <w:spacing w:lineRule="auto" w:line="300" w:before="0" w:after="0"/>
              <w:jc w:val="left"/>
              <w:rPr>
                <w:b/>
              </w:rPr>
            </w:pPr>
            <w:r>
              <w:rPr>
                <w:b/>
              </w:rPr>
              <w:t>Exhibit List</w:t>
            </w:r>
          </w:p>
        </w:tc>
        <w:tc>
          <w:tcPr>
            <w:tcW w:w="60" w:type="dxa"/>
            <w:tcBorders/>
            <w:vAlign w:val="center"/>
          </w:tcPr>
          <w:p>
            <w:pPr>
              <w:pStyle w:val="TableContents"/>
              <w:bidi w:val="0"/>
              <w:spacing w:before="0" w:after="283"/>
              <w:jc w:val="left"/>
              <w:rPr/>
            </w:pPr>
            <w:r>
              <w:rPr/>
              <w:t> </w:t>
            </w:r>
          </w:p>
        </w:tc>
        <w:tc>
          <w:tcPr>
            <w:tcW w:w="9021" w:type="dxa"/>
            <w:tcBorders/>
            <w:vAlign w:val="center"/>
          </w:tcPr>
          <w:p>
            <w:pPr>
              <w:pStyle w:val="TableContents"/>
              <w:bidi w:val="0"/>
              <w:spacing w:before="0" w:after="283"/>
              <w:jc w:val="left"/>
              <w:rPr/>
            </w:pPr>
            <w:r>
              <w:rPr/>
              <w:t> </w:t>
            </w:r>
          </w:p>
        </w:tc>
      </w:tr>
      <w:tr>
        <w:trPr/>
        <w:tc>
          <w:tcPr>
            <w:tcW w:w="11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21" w:type="dxa"/>
            <w:tcBorders/>
            <w:vAlign w:val="center"/>
          </w:tcPr>
          <w:p>
            <w:pPr>
              <w:pStyle w:val="TableContents"/>
              <w:bidi w:val="0"/>
              <w:spacing w:before="0" w:after="283"/>
              <w:jc w:val="left"/>
              <w:rPr/>
            </w:pPr>
            <w:r>
              <w:rPr/>
              <w:t> </w:t>
            </w:r>
          </w:p>
        </w:tc>
      </w:tr>
      <w:tr>
        <w:trPr/>
        <w:tc>
          <w:tcPr>
            <w:tcW w:w="1124" w:type="dxa"/>
            <w:tcBorders/>
            <w:vAlign w:val="center"/>
          </w:tcPr>
          <w:p>
            <w:pPr>
              <w:pStyle w:val="TableContents"/>
              <w:bidi w:val="0"/>
              <w:spacing w:lineRule="auto" w:line="300" w:before="0" w:after="0"/>
              <w:jc w:val="left"/>
              <w:rPr/>
            </w:pPr>
            <w:hyperlink w:anchor="exhibit_99-1.htm">
              <w:r>
                <w:rPr>
                  <w:rStyle w:val="InternetLink"/>
                </w:rPr>
                <w:t>Exhibit 99.1</w:t>
              </w:r>
            </w:hyperlink>
          </w:p>
        </w:tc>
        <w:tc>
          <w:tcPr>
            <w:tcW w:w="60" w:type="dxa"/>
            <w:tcBorders/>
            <w:vAlign w:val="center"/>
          </w:tcPr>
          <w:p>
            <w:pPr>
              <w:pStyle w:val="TableContents"/>
              <w:bidi w:val="0"/>
              <w:spacing w:lineRule="auto" w:line="300" w:before="0" w:after="0"/>
              <w:jc w:val="left"/>
              <w:rPr/>
            </w:pPr>
            <w:r>
              <w:rPr/>
            </w:r>
          </w:p>
        </w:tc>
        <w:tc>
          <w:tcPr>
            <w:tcW w:w="9021" w:type="dxa"/>
            <w:tcBorders/>
            <w:vAlign w:val="center"/>
          </w:tcPr>
          <w:p>
            <w:pPr>
              <w:pStyle w:val="TableContents"/>
              <w:bidi w:val="0"/>
              <w:spacing w:lineRule="auto" w:line="300" w:before="0" w:after="0"/>
              <w:jc w:val="left"/>
              <w:rPr/>
            </w:pPr>
            <w:hyperlink w:anchor="exhibit_99-1.htm">
              <w:r>
                <w:rPr>
                  <w:rStyle w:val="InternetLink"/>
                </w:rPr>
                <w:t>Company announcement dated August 12, 2026, “Nexxen Reports Record Second Quarter 2026 Financial Results”.</w:t>
              </w:r>
            </w:hyperlink>
          </w:p>
        </w:tc>
      </w:tr>
    </w:tbl>
    <w:p>
      <w:pPr>
        <w:pStyle w:val="TextBody"/>
        <w:bidi w:val="0"/>
        <w:spacing w:lineRule="auto" w:line="300" w:before="0" w:after="0"/>
        <w:jc w:val="left"/>
        <w:rPr/>
      </w:pPr>
      <w:r>
        <w:rPr/>
      </w:r>
    </w:p>
    <w:p>
      <w:pPr>
        <w:pStyle w:val="HorizontalLine"/>
        <w:bidi w:val="0"/>
        <w:jc w:val="left"/>
        <w:rPr/>
      </w:pPr>
      <w:r>
        <w:rPr/>
      </w:r>
    </w:p>
    <w:p>
      <w:pPr>
        <w:pStyle w:val="HorizontalLine"/>
        <w:bidi w:val="0"/>
        <w:jc w:val="left"/>
        <w:rPr/>
      </w:pPr>
      <w:r>
        <w:rPr/>
      </w:r>
      <w:bookmarkStart w:id="10" w:name="exhibit_99-1.htm"/>
      <w:bookmarkStart w:id="11" w:name="ksexhibit_991"/>
      <w:bookmarkStart w:id="12" w:name="exhibit_99-1.htm"/>
      <w:bookmarkStart w:id="13" w:name="ksexhibit_991"/>
      <w:bookmarkEnd w:id="12"/>
      <w:bookmarkEnd w:id="13"/>
      <w:r>
        <w:br w:type="page"/>
      </w:r>
    </w:p>
    <w:p>
      <w:pPr>
        <w:pStyle w:val="TextBody"/>
        <w:bidi w:val="0"/>
        <w:spacing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99.1</w:t>
      </w:r>
    </w:p>
    <w:p>
      <w:pPr>
        <w:pStyle w:val="TextBody"/>
        <w:bidi w:val="0"/>
        <w:spacing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center"/>
        <w:rPr>
          <w:color w:val="000000"/>
        </w:rPr>
      </w:pPr>
      <w:r>
        <w:rPr>
          <w:color w:val="000000"/>
        </w:rPr>
        <w:t>  </w:t>
      </w:r>
      <w:r>
        <w:rPr>
          <w:rFonts w:ascii="Times New Roman;Times;serif" w:hAnsi="Times New Roman;Times;serif"/>
          <w:b/>
          <w:color w:val="000000"/>
          <w:sz w:val="24"/>
        </w:rPr>
        <w:t>Nexxen Reports Record Second Quarter 2026 Financial Results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Delivered record Q2 Contribution ex-TAC and programmatic revenue, highlighted by all-time record</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quarterly CTV revenue; raises full-year 2026 Contribution ex-TAC and programmatic revenue guidance</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for the third time this year</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Advanced nexAI through Model Context Protocol ("MCP") and Agent-to-Agent ("A2A") interoperability,</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enabling deeper integration within customers' AI infrastructure and workflows</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Accelerated enterprise adoption and platform-wide utilization, strengthening Nexxen’s long-term end-to-</w:t>
      </w:r>
    </w:p>
    <w:p>
      <w:pPr>
        <w:pStyle w:val="TextBody"/>
        <w:bidi w:val="0"/>
        <w:spacing w:lineRule="auto" w:line="300" w:before="0" w:after="0"/>
        <w:jc w:val="center"/>
        <w:rPr>
          <w:rFonts w:ascii="Times New Roman;Times;serif" w:hAnsi="Times New Roman;Times;serif"/>
          <w:i/>
          <w:color w:val="000000"/>
          <w:sz w:val="20"/>
        </w:rPr>
      </w:pPr>
      <w:r>
        <w:rPr>
          <w:rFonts w:ascii="Times New Roman;Times;serif" w:hAnsi="Times New Roman;Times;serif"/>
          <w:i/>
          <w:color w:val="000000"/>
          <w:sz w:val="20"/>
        </w:rPr>
        <w:t>end revenue growth opportunities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NEW YORK, August 12, 2026 — Nexxen International Ltd. (NASDAQ: NEXN) (“Nexxen” or the “Company”), the advertising technology platform powered by unique data and media, announced today its financial results for the three and six months ended June 30, 2026.</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Q2 2026 Financial Highlights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4" w:name="z680908d6c7fb43269f5d08467b52576e"/>
      <w:bookmarkStart w:id="15" w:name="z680908d6c7fb43269f5d08467b52576e"/>
      <w:bookmarkEnd w:id="15"/>
    </w:p>
    <w:tbl>
      <w:tblPr>
        <w:tblW w:w="7278" w:type="dxa"/>
        <w:jc w:val="left"/>
        <w:tblInd w:w="0" w:type="dxa"/>
        <w:tblLayout w:type="fixed"/>
        <w:tblCellMar>
          <w:top w:w="0" w:type="dxa"/>
          <w:left w:w="0" w:type="dxa"/>
          <w:bottom w:w="0" w:type="dxa"/>
          <w:right w:w="0" w:type="dxa"/>
        </w:tblCellMar>
      </w:tblPr>
      <w:tblGrid>
        <w:gridCol w:w="38"/>
        <w:gridCol w:w="110"/>
        <w:gridCol w:w="71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0"/>
              <w:jc w:val="both"/>
              <w:rPr/>
            </w:pPr>
            <w:r>
              <w:rPr/>
              <w:t>Record Q2 Contribution ex-TAC of $97.8 million, up 11% year-over-year.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d7089c23dda8423fb91d6af696f601ba"/>
      <w:bookmarkStart w:id="17" w:name="zd7089c23dda8423fb91d6af696f601ba"/>
      <w:bookmarkEnd w:id="17"/>
    </w:p>
    <w:tbl>
      <w:tblPr>
        <w:tblW w:w="7338" w:type="dxa"/>
        <w:jc w:val="left"/>
        <w:tblInd w:w="0" w:type="dxa"/>
        <w:tblLayout w:type="fixed"/>
        <w:tblCellMar>
          <w:top w:w="0" w:type="dxa"/>
          <w:left w:w="0" w:type="dxa"/>
          <w:bottom w:w="0" w:type="dxa"/>
          <w:right w:w="0" w:type="dxa"/>
        </w:tblCellMar>
      </w:tblPr>
      <w:tblGrid>
        <w:gridCol w:w="38"/>
        <w:gridCol w:w="110"/>
        <w:gridCol w:w="719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0"/>
              <w:jc w:val="both"/>
              <w:rPr/>
            </w:pPr>
            <w:r>
              <w:rPr/>
              <w:t>Record Q2 programmatic revenue of $95.2 million, up 12% year-over-year.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c8c7ad29088348b48fe92d73547849a5"/>
      <w:bookmarkStart w:id="19" w:name="zc8c7ad29088348b48fe92d73547849a5"/>
      <w:bookmarkEnd w:id="19"/>
    </w:p>
    <w:tbl>
      <w:tblPr>
        <w:tblW w:w="7818" w:type="dxa"/>
        <w:jc w:val="left"/>
        <w:tblInd w:w="0" w:type="dxa"/>
        <w:tblLayout w:type="fixed"/>
        <w:tblCellMar>
          <w:top w:w="0" w:type="dxa"/>
          <w:left w:w="0" w:type="dxa"/>
          <w:bottom w:w="0" w:type="dxa"/>
          <w:right w:w="0" w:type="dxa"/>
        </w:tblCellMar>
      </w:tblPr>
      <w:tblGrid>
        <w:gridCol w:w="38"/>
        <w:gridCol w:w="110"/>
        <w:gridCol w:w="76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0"/>
              <w:jc w:val="both"/>
              <w:rPr/>
            </w:pPr>
            <w:r>
              <w:rPr/>
              <w:t>All-time record quarterly CTV revenue of $37.8 million, up 33% year-over-year.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f2efbdde661643a99c4a52d1b25e3026"/>
      <w:bookmarkStart w:id="21" w:name="zf2efbdde661643a99c4a52d1b25e3026"/>
      <w:bookmarkEnd w:id="21"/>
    </w:p>
    <w:tbl>
      <w:tblPr>
        <w:tblW w:w="8508" w:type="dxa"/>
        <w:jc w:val="left"/>
        <w:tblInd w:w="0" w:type="dxa"/>
        <w:tblLayout w:type="fixed"/>
        <w:tblCellMar>
          <w:top w:w="0" w:type="dxa"/>
          <w:left w:w="0" w:type="dxa"/>
          <w:bottom w:w="0" w:type="dxa"/>
          <w:right w:w="0" w:type="dxa"/>
        </w:tblCellMar>
      </w:tblPr>
      <w:tblGrid>
        <w:gridCol w:w="38"/>
        <w:gridCol w:w="110"/>
        <w:gridCol w:w="83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360" w:type="dxa"/>
            <w:tcBorders/>
            <w:vAlign w:val="center"/>
          </w:tcPr>
          <w:p>
            <w:pPr>
              <w:pStyle w:val="TableContents"/>
              <w:bidi w:val="0"/>
              <w:spacing w:before="0" w:after="0"/>
              <w:jc w:val="both"/>
              <w:rPr/>
            </w:pPr>
            <w:r>
              <w:rPr/>
              <w:t>Programmatic revenue increased to 95% of total revenue, compared to 93% in Q2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c49b1ee0e51f4755a542a8c05b5baeb7"/>
      <w:bookmarkStart w:id="23" w:name="zc49b1ee0e51f4755a542a8c05b5baeb7"/>
      <w:bookmarkEnd w:id="23"/>
    </w:p>
    <w:tbl>
      <w:tblPr>
        <w:tblW w:w="8583" w:type="dxa"/>
        <w:jc w:val="left"/>
        <w:tblInd w:w="0" w:type="dxa"/>
        <w:tblLayout w:type="fixed"/>
        <w:tblCellMar>
          <w:top w:w="0" w:type="dxa"/>
          <w:left w:w="0" w:type="dxa"/>
          <w:bottom w:w="0" w:type="dxa"/>
          <w:right w:w="0" w:type="dxa"/>
        </w:tblCellMar>
      </w:tblPr>
      <w:tblGrid>
        <w:gridCol w:w="38"/>
        <w:gridCol w:w="110"/>
        <w:gridCol w:w="84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0"/>
              <w:jc w:val="both"/>
              <w:rPr/>
            </w:pPr>
            <w:r>
              <w:rPr/>
              <w:t>CTV revenue increased to 40% of programmatic revenue, compared to 33% in Q2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3387962362cc40a1b1d0dd337563a90f"/>
      <w:bookmarkStart w:id="25" w:name="z3387962362cc40a1b1d0dd337563a90f"/>
      <w:bookmarkEnd w:id="25"/>
    </w:p>
    <w:tbl>
      <w:tblPr>
        <w:tblW w:w="8628" w:type="dxa"/>
        <w:jc w:val="left"/>
        <w:tblInd w:w="0" w:type="dxa"/>
        <w:tblLayout w:type="fixed"/>
        <w:tblCellMar>
          <w:top w:w="0" w:type="dxa"/>
          <w:left w:w="0" w:type="dxa"/>
          <w:bottom w:w="0" w:type="dxa"/>
          <w:right w:w="0" w:type="dxa"/>
        </w:tblCellMar>
      </w:tblPr>
      <w:tblGrid>
        <w:gridCol w:w="38"/>
        <w:gridCol w:w="110"/>
        <w:gridCol w:w="84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0"/>
              <w:jc w:val="both"/>
              <w:rPr/>
            </w:pPr>
            <w:r>
              <w:rPr/>
              <w:t>Video revenue represented 70% of programmatic revenue, compared to 68% in Q2 2025.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z47a5700852c0418e92c56c08cbf2395e"/>
      <w:bookmarkStart w:id="27" w:name="z47a5700852c0418e92c56c08cbf2395e"/>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300" w:before="0" w:after="0"/>
              <w:jc w:val="both"/>
              <w:rPr/>
            </w:pPr>
            <w:r>
              <w:rPr/>
              <w:t>Adjusted EBITDA of $27.6 million, representing a 28% Adjusted EBITDA margin on a Contribution ex-TAC basis (27% on a total revenue basis), compared to $29.9 million and a 34% Adjusted EBITDA margin on a Contribution ex-TAC basis (33% on a total revenue basis) in Q2 2025. The year-over-year change in Adjusted EBITDA primarily reflects increased investment across AI, data, infrastructure, go-to-market execution and platform capabilities to support the Company's long-term growth opportunities, as well as the impact of foreign currency exchange fluctuations.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2a9f9fee1f6747bb9f7d3b767c988264"/>
      <w:bookmarkStart w:id="29" w:name="z2a9f9fee1f6747bb9f7d3b767c988264"/>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$132.0 million in cash and cash equivalents, no long-term debt and $50 million available under the Company’s undrawn revolving credit facility as of June 30, 2026. The Company’s cash and cash equivalents increased significantly quarter-over-quarter, reflecting strong operating performance, as well as the collection of receivables in Q2 2026 that were outstanding at the end of Q1 2026.</w:t>
            </w:r>
          </w:p>
        </w:tc>
      </w:tr>
    </w:tbl>
    <w:p>
      <w:pPr>
        <w:pStyle w:val="TextBody"/>
        <w:bidi w:val="0"/>
        <w:spacing w:lineRule="auto" w:line="300" w:before="0" w:after="0"/>
        <w:jc w:val="left"/>
        <w:rPr/>
      </w:pPr>
      <w:r>
        <w:rPr/>
      </w:r>
    </w:p>
    <w:p>
      <w:pPr>
        <w:pStyle w:val="TextBody"/>
        <w:bidi w:val="0"/>
        <w:spacing w:lineRule="auto" w:line="300" w:before="0" w:after="0"/>
        <w:jc w:val="both"/>
        <w:rPr>
          <w:color w:val="000000"/>
        </w:rPr>
      </w:pPr>
      <w:r>
        <w:rPr>
          <w:color w:val="000000"/>
        </w:rPr>
        <w:t>“</w:t>
      </w:r>
      <w:r>
        <w:rPr>
          <w:rFonts w:ascii="Times New Roman;Times;serif" w:hAnsi="Times New Roman;Times;serif"/>
          <w:color w:val="000000"/>
          <w:sz w:val="20"/>
        </w:rPr>
        <w:t>We once again exceeded consensus expectations, delivering record Q2 Contribution ex-TAC and programmatic revenue, highlighted by all-time record quarterly CTV revenue which increased 33% year-over-year, supporting our decision to increase our full-year Contribution ex-TAC and programmatic revenue guidance for the third time this year,” said Ofer Druker, Chief Executive Officer of Nexxen. “Enterprise engagement continues to accelerate, fueling greater platform utilization and reinforcing our confidence in our long-term growth strategy. As AI reshapes our industry, we believe differentiation will be driven not simply by AI capabilities, but by the proprietary data, exclusive media and open, interoperable technology within the platforms underlying them. Through continued innovation, we are positioning nexAI to integrate directly into our customers' AI infrastructure, enabling access to Nexxen’s data, intelligence and activation capabilities across both our platform and other AI-powered ecosystems. Combined with continued traction for Nexxen TV Home Screen and disciplined execution across our enterprise, CTV, mobile in-app and data strategies, we believe our platform is increasingly well positioned to capture market share and deliver durable long-term value in the next generation of programmatic advertising.”</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Financial Guidance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0" w:name="zb2c14dcaf92d43218a2676793116f9d5"/>
      <w:bookmarkStart w:id="31" w:name="zb2c14dcaf92d43218a2676793116f9d5"/>
      <w:bookmarkEnd w:id="3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Nexxen raises its full-year 2026 Contribution ex-TAC and programmatic revenue guidance last provided June 16, 2026, while reaffirming its full-year 2026 Adjusted EBITDA guidance:</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2" w:name="zde7f33e0a1094e2b9448912c51f09595"/>
      <w:bookmarkStart w:id="33" w:name="zde7f33e0a1094e2b9448912c51f09595"/>
      <w:bookmarkEnd w:id="3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Contribution ex-TAC in the range of $388 - $402 million (previously $385 - $400 million), representing approximately 12% year-over-year growth at the midpoint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c7c15a4c44c5426f8d659699c897a555"/>
      <w:bookmarkStart w:id="35" w:name="zc7c15a4c44c5426f8d659699c897a555"/>
      <w:bookmarkEnd w:id="35"/>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Programmatic revenue in the range of $380 - $393 million (previously $377 - $391 million), representing approximately 13% year-over-year growth at the midpoint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4c315b2c44dc4efcb3e8b7330c889230"/>
      <w:bookmarkStart w:id="37" w:name="z4c315b2c44dc4efcb3e8b7330c889230"/>
      <w:bookmarkEnd w:id="37"/>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Adjusted EBITDA in the range of $122 - $132 million (unchanged), representing approximately 10% year-over-year growth and an Adjusted EBITDA margin of 32% on a Contribution ex-TAC basis at the midpoint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38" w:name="z26d4ed63e013402a9b86754d25207003"/>
      <w:bookmarkStart w:id="39" w:name="z26d4ed63e013402a9b86754d25207003"/>
      <w:bookmarkEnd w:id="3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The Company’s updated full-year 2026 Contribution ex-TAC and programmatic revenue guidance reflects its Q2 outperformance, continued year-over-year momentum across enterprise, CTV, mobile and data products to this point in Q3 and increased visibility into the remainder of the year. Nexxen’s Adjusted EBITDA guidance was reaffirmed primarily to reflect the Company’s expectation to continue investing across its strategic growth initiatives and platform capabilities in H2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13a7f25b1170494894316bf71d21148e"/>
      <w:bookmarkStart w:id="41" w:name="z13a7f25b1170494894316bf71d21148e"/>
      <w:bookmarkEnd w:id="4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The Company continues to expect H2 2026 growth to be supported by accelerating enterprise customer engagement, increasing end-to-end platform utilization, continued mobile in-app, CTV and data products strength and growing commercial traction for Nexxen TV Home Screen.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20b7c0edb37144deac518b56372c4467"/>
      <w:bookmarkStart w:id="43" w:name="z20b7c0edb37144deac518b56372c4467"/>
      <w:bookmarkEnd w:id="4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Nexxen will continue investing in AI, data and infrastructure, alongside performance-based CTV and mobile in-app capabilities, to support long-term programmatic revenue growth and drive operating leverage expansion.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c2fb3839487c4a1bafa498f9d81b11ff"/>
      <w:bookmarkStart w:id="45" w:name="zc2fb3839487c4a1bafa498f9d81b11ff"/>
      <w:bookmarkEnd w:id="45"/>
    </w:p>
    <w:tbl>
      <w:tblPr>
        <w:tblW w:w="9970" w:type="dxa"/>
        <w:jc w:val="left"/>
        <w:tblInd w:w="0" w:type="dxa"/>
        <w:tblLayout w:type="fixed"/>
        <w:tblCellMar>
          <w:top w:w="0" w:type="dxa"/>
          <w:left w:w="0" w:type="dxa"/>
          <w:bottom w:w="0" w:type="dxa"/>
          <w:right w:w="0" w:type="dxa"/>
        </w:tblCellMar>
      </w:tblPr>
      <w:tblGrid>
        <w:gridCol w:w="125"/>
        <w:gridCol w:w="9845"/>
      </w:tblGrid>
      <w:tr>
        <w:trPr/>
        <w:tc>
          <w:tcPr>
            <w:tcW w:w="125" w:type="dxa"/>
            <w:tcBorders/>
            <w:vAlign w:val="center"/>
          </w:tcPr>
          <w:p>
            <w:pPr>
              <w:pStyle w:val="TableContents"/>
              <w:bidi w:val="0"/>
              <w:spacing w:before="0" w:after="283"/>
              <w:jc w:val="left"/>
              <w:rPr/>
            </w:pPr>
            <w:r>
              <w:rPr/>
              <w:t>•</w:t>
            </w:r>
          </w:p>
        </w:tc>
        <w:tc>
          <w:tcPr>
            <w:tcW w:w="9845" w:type="dxa"/>
            <w:tcBorders/>
            <w:vAlign w:val="center"/>
          </w:tcPr>
          <w:p>
            <w:pPr>
              <w:pStyle w:val="TableContents"/>
              <w:bidi w:val="0"/>
              <w:spacing w:before="0" w:after="0"/>
              <w:jc w:val="both"/>
              <w:rPr/>
            </w:pPr>
            <w:r>
              <w:rPr/>
              <w:t>The Company continues to evaluate strategic options for its remaining non-programmatic business lines.</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Q2 2026 Operational Highlights and Recent Developments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6" w:name="zbc82afecf08a43eca039dd0e4baf9d28"/>
      <w:bookmarkStart w:id="47" w:name="zbc82afecf08a43eca039dd0e4baf9d28"/>
      <w:bookmarkEnd w:id="4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Advanced nexAI through MCP and A2A interoperability, which will enable customers to integrate Nexxen’s AI agents into their existing AI ecosystems and workflows. This innovation is expected to position Nexxen as an increasingly interoperable intelligence and execution layer, enabling advertisers to seamlessly access the Company’s proprietary data, audience intelligence and campaign activation capabilities across both Nexxen’s platform and other AI-powered ecosystems while strengthening the Company’s long-term competitive position in the evolving agentic future of programmatic advertising.</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8" w:name="z511a2a9a60dd4b4fb493b35b99da010b"/>
      <w:bookmarkStart w:id="49" w:name="z511a2a9a60dd4b4fb493b35b99da010b"/>
      <w:bookmarkEnd w:id="4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Enterprise engagement with Nexxen’s new AI-native DSP user interface (“UI”) and enhanced nexAI DSP assistant continued to accelerate, driving meaningful performance and efficiency improvements, lowering barriers to entry and supporting greater end-to-end platform utilization. nexAI continues to evolve beyond an efficiency tool into an increasingly important driver of customer adoption, platform utilization and long-term revenue growth.</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0" w:name="z8c6138c23aff49599f288fe623457abc"/>
      <w:bookmarkStart w:id="51" w:name="z8c6138c23aff49599f288fe623457abc"/>
      <w:bookmarkEnd w:id="5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Increased adoption of Nexxen TV Home Screen across leading CTV OEMs, platforms and agencies, with growing commercial traction reinforcing Nexxen’s long-term CTV revenue opportunity.</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2" w:name="zce1f70fc303949ebba0d90778caf0f13"/>
      <w:bookmarkStart w:id="53" w:name="zce1f70fc303949ebba0d90778caf0f13"/>
      <w:bookmarkEnd w:id="5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Expanded direct software development kit (“SDK”) integrations with Unity and other mobile in-app partners, supporting continued mobile revenue growth while expanding Nexxen’s in-app capabilities and long-term revenue opportunity in one of programmatic advertising’s most AI-resilient channels.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4" w:name="zb4d4804c364d47ce90b117e6fed7aa0c"/>
      <w:bookmarkStart w:id="55" w:name="zb4d4804c364d47ce90b117e6fed7aa0c"/>
      <w:bookmarkEnd w:id="5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lineRule="auto" w:line="300" w:before="0" w:after="0"/>
              <w:jc w:val="both"/>
              <w:rPr/>
            </w:pPr>
            <w:r>
              <w:rPr/>
              <w:t>Announced key leadership adjustments to strengthen Nexxen’s commercial organization, unify execution and position the Company to accelerate growth across its core drivers. Chance Johnson, formerly the Company’s Chief Commercial Officer, has been promoted to President of Nexxen, supporting the Company’s next phase of go-to-market execution and revenue growth. Mr. Johnson will focus on scaling the business, executing against the Company’s product and solutions roadmap and taking on a more visible role with the analyst and investor communities. Kara Puccinelli, formerly Nexxen’s Chief Customer Officer, has assumed the role of Chief Commercial Officer and will continue managing the Company’s enterprise offering. Kenneth Suh, formerly Nexxen’s Chief Strategy Officer, has assumed the role of Chief Business Officer to further position the Company to capitalize on growth opportunities across its exchange business, particularly within mobile in-app and CTV.</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6" w:name="za169ef604e784425a748b8c76d58d1ea"/>
      <w:bookmarkStart w:id="57" w:name="za169ef604e784425a748b8c76d58d1ea"/>
      <w:bookmarkEnd w:id="5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Initiated a strategic wind-down of RhythmInfluence, Nexxen’s non-programmatic influencer marketing business, further concentrating the Company’s focus on programmatic advertising, improving operational efficiency and aligning its business mix with long-term strategic growth priorities. The wind-down resulted in restructuring expenses during Q2 2026 but is not expected to have a material impact on Contribution ex-TAC or Adjusted EBITDA in H2 2026.</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58" w:name="z57935bd1525c41ab8da092edb16bdf1d"/>
      <w:bookmarkStart w:id="59" w:name="z57935bd1525c41ab8da092edb16bdf1d"/>
      <w:bookmarkEnd w:id="5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pPr>
            <w:r>
              <w:rPr/>
              <w:t>Enhanced Nexxen's political advertising offerings through strategic partnerships with L2 Data and ADvolution, further positioning the Company to capture a greater share of political advertising spend during the 2026 U.S. midterm election cycle.</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Share Repurchase Program and Capital Allocation Updates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0" w:name="z1ca8d1796fe249cfa2df9fb29fa4b6e9"/>
      <w:bookmarkStart w:id="61" w:name="z1ca8d1796fe249cfa2df9fb29fa4b6e9"/>
      <w:bookmarkEnd w:id="6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The Company did not repurchase any shares during Q2 2026 as management prioritized maintaining financial flexibility while evaluating disciplined M&amp;A opportunities and capital deployment across Nexxen’s strategic priorities, including continued investment in AI, data, platform capabilities and go-to-market execution. The Company has authorization to initiate a new share repurchase program of up to $40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b57c645a0f914def9e808649311cf03e"/>
      <w:bookmarkStart w:id="63" w:name="zb57c645a0f914def9e808649311cf03e"/>
      <w:bookmarkEnd w:id="63"/>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Since March 1, 2022, the Company has repurchased 30,928,265 shares, or approximately 39.9% of shares outstanding, investing approximately $265.3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zd8cb28b313f74055b9faac8e9b1f22cc"/>
      <w:bookmarkStart w:id="65" w:name="zd8cb28b313f74055b9faac8e9b1f22cc"/>
      <w:bookmarkEnd w:id="65"/>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Nexxen expects to invest an additional $15 million in V (formerly VIDAA) during Q3 2026, bringing its total investment to $60 million, representing approximately 6% equity ownership.</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zf94fe80538a14b1bbc6a87d2d78bd7ad"/>
      <w:bookmarkStart w:id="67" w:name="zf94fe80538a14b1bbc6a87d2d78bd7ad"/>
      <w:bookmarkEnd w:id="67"/>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t>The Company is continuing to evaluate disciplined strategic opportunities to expand its mobile in-app, CTV, data and AI capabilities to accelerate programmatic revenue growth.</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b/>
          <w:u w:val="single"/>
        </w:rPr>
      </w:pPr>
      <w:r>
        <w:rPr>
          <w:b/>
          <w:u w:val="single"/>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Financial Highlights for the Three and Six Months Ended June 30, 2026 ($ in millions, except per share amounts)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68" w:name="zb5a05decffe2408a9f526d1e05392038"/>
      <w:bookmarkStart w:id="69" w:name="zb5a05decffe2408a9f526d1e05392038"/>
      <w:bookmarkEnd w:id="69"/>
    </w:p>
    <w:tbl>
      <w:tblPr>
        <w:tblW w:w="10205" w:type="dxa"/>
        <w:jc w:val="left"/>
        <w:tblInd w:w="0" w:type="dxa"/>
        <w:tblLayout w:type="fixed"/>
        <w:tblCellMar>
          <w:top w:w="0" w:type="dxa"/>
          <w:left w:w="0" w:type="dxa"/>
          <w:bottom w:w="0" w:type="dxa"/>
          <w:right w:w="0" w:type="dxa"/>
        </w:tblCellMar>
      </w:tblPr>
      <w:tblGrid>
        <w:gridCol w:w="4256"/>
        <w:gridCol w:w="60"/>
        <w:gridCol w:w="77"/>
        <w:gridCol w:w="722"/>
        <w:gridCol w:w="277"/>
        <w:gridCol w:w="77"/>
        <w:gridCol w:w="77"/>
        <w:gridCol w:w="567"/>
        <w:gridCol w:w="277"/>
        <w:gridCol w:w="77"/>
        <w:gridCol w:w="77"/>
        <w:gridCol w:w="432"/>
        <w:gridCol w:w="290"/>
        <w:gridCol w:w="60"/>
        <w:gridCol w:w="64"/>
        <w:gridCol w:w="605"/>
        <w:gridCol w:w="313"/>
        <w:gridCol w:w="64"/>
        <w:gridCol w:w="64"/>
        <w:gridCol w:w="605"/>
        <w:gridCol w:w="232"/>
        <w:gridCol w:w="64"/>
        <w:gridCol w:w="64"/>
        <w:gridCol w:w="491"/>
        <w:gridCol w:w="313"/>
      </w:tblGrid>
      <w:tr>
        <w:trPr/>
        <w:tc>
          <w:tcPr>
            <w:tcW w:w="4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 June 30</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6"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 June 30</w:t>
            </w:r>
          </w:p>
        </w:tc>
        <w:tc>
          <w:tcPr>
            <w:tcW w:w="313" w:type="dxa"/>
            <w:tcBorders/>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64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0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6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55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313" w:type="dxa"/>
            <w:tcBorders/>
            <w:vAlign w:val="bottom"/>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lineRule="auto" w:line="300" w:before="0" w:after="0"/>
              <w:jc w:val="both"/>
              <w:rPr>
                <w:b/>
              </w:rPr>
            </w:pPr>
            <w:r>
              <w:rPr>
                <w:b/>
              </w:rPr>
              <w:t>IFRS Highlights</w:t>
            </w:r>
          </w:p>
        </w:tc>
        <w:tc>
          <w:tcPr>
            <w:tcW w:w="60" w:type="dxa"/>
            <w:tcBorders/>
            <w:shd w:fill="CCEEFF" w:val="clear"/>
            <w:vAlign w:val="bottom"/>
          </w:tcPr>
          <w:p>
            <w:pPr>
              <w:pStyle w:val="TableContents"/>
              <w:bidi w:val="0"/>
              <w:spacing w:before="0" w:after="283"/>
              <w:jc w:val="left"/>
              <w:rPr/>
            </w:pPr>
            <w:r>
              <w:rPr/>
              <w:t> </w:t>
            </w:r>
          </w:p>
        </w:tc>
        <w:tc>
          <w:tcPr>
            <w:tcW w:w="1797" w:type="dxa"/>
            <w:gridSpan w:val="6"/>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09" w:type="dxa"/>
            <w:gridSpan w:val="2"/>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69" w:type="dxa"/>
            <w:gridSpan w:val="2"/>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69" w:type="dxa"/>
            <w:gridSpan w:val="2"/>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555" w:type="dxa"/>
            <w:gridSpan w:val="2"/>
            <w:tcBorders/>
            <w:shd w:fill="CCEEFF" w:val="clear"/>
            <w:vAlign w:val="bottom"/>
          </w:tcPr>
          <w:p>
            <w:pPr>
              <w:pStyle w:val="TableContents"/>
              <w:bidi w:val="0"/>
              <w:spacing w:before="0" w:after="283"/>
              <w:jc w:val="left"/>
              <w:rPr/>
            </w:pPr>
            <w:r>
              <w:rPr/>
              <w:t> </w:t>
            </w:r>
          </w:p>
        </w:tc>
        <w:tc>
          <w:tcPr>
            <w:tcW w:w="313" w:type="dxa"/>
            <w:tcBorders/>
            <w:shd w:fill="CCEEFF" w:val="clear"/>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lineRule="auto" w:line="300" w:before="0" w:after="0"/>
              <w:ind w:left="240" w:right="0" w:hanging="240"/>
              <w:jc w:val="left"/>
              <w:rPr/>
            </w:pPr>
            <w:r>
              <w:rPr/>
              <w:t>Revenue</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100.5</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90.9</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lineRule="auto" w:line="300" w:before="0" w:after="0"/>
              <w:jc w:val="right"/>
              <w:rPr/>
            </w:pPr>
            <w:r>
              <w:rPr/>
              <w:t>11</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187.4</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169.3</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lineRule="auto" w:line="300" w:before="0" w:after="0"/>
              <w:jc w:val="right"/>
              <w:rPr/>
            </w:pPr>
            <w:r>
              <w:rPr/>
              <w:t>11</w:t>
            </w:r>
          </w:p>
        </w:tc>
        <w:tc>
          <w:tcPr>
            <w:tcW w:w="313" w:type="dxa"/>
            <w:tcBorders/>
            <w:vAlign w:val="bottom"/>
          </w:tcPr>
          <w:p>
            <w:pPr>
              <w:pStyle w:val="TableContents"/>
              <w:bidi w:val="0"/>
              <w:spacing w:lineRule="auto" w:line="300" w:before="0" w:after="0"/>
              <w:jc w:val="left"/>
              <w:rPr/>
            </w:pPr>
            <w:r>
              <w:rPr/>
              <w:t>%</w:t>
            </w:r>
          </w:p>
        </w:tc>
      </w:tr>
      <w:tr>
        <w:trPr/>
        <w:tc>
          <w:tcPr>
            <w:tcW w:w="4256" w:type="dxa"/>
            <w:tcBorders/>
            <w:shd w:fill="CCEEFF" w:val="clear"/>
            <w:vAlign w:val="bottom"/>
          </w:tcPr>
          <w:p>
            <w:pPr>
              <w:pStyle w:val="TableContents"/>
              <w:bidi w:val="0"/>
              <w:spacing w:lineRule="auto" w:line="300" w:before="0" w:after="0"/>
              <w:ind w:left="240" w:right="0" w:hanging="240"/>
              <w:jc w:val="left"/>
              <w:rPr/>
            </w:pPr>
            <w:r>
              <w:rPr/>
              <w:t>Programmatic revenue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lineRule="auto" w:line="300" w:before="0" w:after="0"/>
              <w:jc w:val="right"/>
              <w:rPr/>
            </w:pPr>
            <w:r>
              <w:rPr/>
              <w:t>95.2</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lineRule="auto" w:line="300" w:before="0" w:after="0"/>
              <w:jc w:val="right"/>
              <w:rPr/>
            </w:pPr>
            <w:r>
              <w:rPr/>
              <w:t>85.0</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lineRule="auto" w:line="300" w:before="0" w:after="0"/>
              <w:jc w:val="right"/>
              <w:rPr/>
            </w:pPr>
            <w:r>
              <w:rPr/>
              <w:t>12</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177.1</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156.8</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lineRule="auto" w:line="300" w:before="0" w:after="0"/>
              <w:jc w:val="right"/>
              <w:rPr/>
            </w:pPr>
            <w:r>
              <w:rPr/>
              <w:t>13</w:t>
            </w:r>
          </w:p>
        </w:tc>
        <w:tc>
          <w:tcPr>
            <w:tcW w:w="313" w:type="dxa"/>
            <w:tcBorders/>
            <w:shd w:fill="CCEEFF" w:val="clear"/>
            <w:vAlign w:val="bottom"/>
          </w:tcPr>
          <w:p>
            <w:pPr>
              <w:pStyle w:val="TableContents"/>
              <w:bidi w:val="0"/>
              <w:spacing w:lineRule="auto" w:line="300" w:before="0" w:after="0"/>
              <w:jc w:val="left"/>
              <w:rPr/>
            </w:pPr>
            <w:r>
              <w:rPr/>
              <w:t>%</w:t>
            </w:r>
          </w:p>
        </w:tc>
      </w:tr>
      <w:tr>
        <w:trPr/>
        <w:tc>
          <w:tcPr>
            <w:tcW w:w="4256" w:type="dxa"/>
            <w:tcBorders/>
            <w:vAlign w:val="bottom"/>
          </w:tcPr>
          <w:p>
            <w:pPr>
              <w:pStyle w:val="TableContents"/>
              <w:bidi w:val="0"/>
              <w:spacing w:lineRule="auto" w:line="300" w:before="0" w:after="0"/>
              <w:ind w:left="240" w:right="0" w:hanging="240"/>
              <w:jc w:val="left"/>
              <w:rPr/>
            </w:pPr>
            <w:r>
              <w:rPr/>
              <w:t>Operating profit (loss)</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4.2</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8.7</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lineRule="auto" w:line="300" w:before="0" w:after="0"/>
              <w:jc w:val="right"/>
              <w:rPr/>
            </w:pPr>
            <w:r>
              <w:rPr/>
              <w:t>(52</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(0.7</w:t>
            </w:r>
          </w:p>
        </w:tc>
        <w:tc>
          <w:tcPr>
            <w:tcW w:w="313" w:type="dxa"/>
            <w:tcBorders/>
            <w:vAlign w:val="bottom"/>
          </w:tcPr>
          <w:p>
            <w:pPr>
              <w:pStyle w:val="TableContents"/>
              <w:bidi w:val="0"/>
              <w:spacing w:lineRule="auto" w:line="300" w:before="0" w:after="0"/>
              <w:jc w:val="left"/>
              <w:rPr/>
            </w:pPr>
            <w:r>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12.2</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lineRule="auto" w:line="300" w:before="0" w:after="0"/>
              <w:jc w:val="right"/>
              <w:rPr/>
            </w:pPr>
            <w:r>
              <w:rPr/>
              <w:t>(106</w:t>
            </w:r>
          </w:p>
        </w:tc>
        <w:tc>
          <w:tcPr>
            <w:tcW w:w="313" w:type="dxa"/>
            <w:tcBorders/>
            <w:vAlign w:val="bottom"/>
          </w:tcPr>
          <w:p>
            <w:pPr>
              <w:pStyle w:val="TableContents"/>
              <w:bidi w:val="0"/>
              <w:spacing w:lineRule="auto" w:line="300" w:before="0" w:after="0"/>
              <w:jc w:val="left"/>
              <w:rPr/>
            </w:pPr>
            <w:r>
              <w:rPr/>
              <w:t>%)</w:t>
            </w:r>
          </w:p>
        </w:tc>
      </w:tr>
      <w:tr>
        <w:trPr/>
        <w:tc>
          <w:tcPr>
            <w:tcW w:w="4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lineRule="auto" w:line="300" w:before="0" w:after="0"/>
              <w:ind w:left="240" w:right="0" w:hanging="240"/>
              <w:jc w:val="left"/>
              <w:rPr/>
            </w:pPr>
            <w:r>
              <w:rPr/>
              <w:t>Net income (loss) margin on a gross profit basis</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5</w:t>
            </w:r>
          </w:p>
        </w:tc>
        <w:tc>
          <w:tcPr>
            <w:tcW w:w="277" w:type="dxa"/>
            <w:tcBorders/>
            <w:vAlign w:val="bottom"/>
          </w:tcPr>
          <w:p>
            <w:pPr>
              <w:pStyle w:val="TableContents"/>
              <w:bidi w:val="0"/>
              <w:spacing w:lineRule="auto" w:line="300" w:before="0" w:after="0"/>
              <w:jc w:val="left"/>
              <w:rPr/>
            </w:pPr>
            <w:r>
              <w:rPr/>
              <w:t>%</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13</w:t>
            </w:r>
          </w:p>
        </w:tc>
        <w:tc>
          <w:tcPr>
            <w:tcW w:w="277" w:type="dxa"/>
            <w:tcBorders/>
            <w:vAlign w:val="bottom"/>
          </w:tcPr>
          <w:p>
            <w:pPr>
              <w:pStyle w:val="TableContents"/>
              <w:bidi w:val="0"/>
              <w:spacing w:lineRule="auto" w:line="300" w:before="0" w:after="0"/>
              <w:jc w:val="left"/>
              <w:rPr/>
            </w:pPr>
            <w:r>
              <w:rPr/>
              <w:t>%</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w:t>
            </w:r>
          </w:p>
        </w:tc>
        <w:tc>
          <w:tcPr>
            <w:tcW w:w="313" w:type="dxa"/>
            <w:tcBorders/>
            <w:vAlign w:val="bottom"/>
          </w:tcPr>
          <w:p>
            <w:pPr>
              <w:pStyle w:val="TableContents"/>
              <w:bidi w:val="0"/>
              <w:spacing w:lineRule="auto" w:line="300" w:before="0" w:after="0"/>
              <w:jc w:val="left"/>
              <w:rPr/>
            </w:pPr>
            <w:r>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8</w:t>
            </w:r>
          </w:p>
        </w:tc>
        <w:tc>
          <w:tcPr>
            <w:tcW w:w="232" w:type="dxa"/>
            <w:tcBorders/>
            <w:vAlign w:val="bottom"/>
          </w:tcPr>
          <w:p>
            <w:pPr>
              <w:pStyle w:val="TableContents"/>
              <w:bidi w:val="0"/>
              <w:spacing w:lineRule="auto" w:line="300" w:before="0" w:after="0"/>
              <w:jc w:val="left"/>
              <w:rPr/>
            </w:pPr>
            <w:r>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lineRule="auto" w:line="300" w:before="0" w:after="0"/>
              <w:ind w:left="23" w:right="0" w:hanging="23"/>
              <w:jc w:val="left"/>
              <w:rPr/>
            </w:pPr>
            <w:r>
              <w:rPr/>
              <w:t>Total comprehensive income (loss)</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4.2</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11.3</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lineRule="auto" w:line="300" w:before="0" w:after="0"/>
              <w:jc w:val="right"/>
              <w:rPr/>
            </w:pPr>
            <w:r>
              <w:rPr/>
              <w:t>(63</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(1.2</w:t>
            </w:r>
          </w:p>
        </w:tc>
        <w:tc>
          <w:tcPr>
            <w:tcW w:w="313" w:type="dxa"/>
            <w:tcBorders/>
            <w:vAlign w:val="bottom"/>
          </w:tcPr>
          <w:p>
            <w:pPr>
              <w:pStyle w:val="TableContents"/>
              <w:bidi w:val="0"/>
              <w:spacing w:lineRule="auto" w:line="300" w:before="0" w:after="0"/>
              <w:jc w:val="left"/>
              <w:rPr/>
            </w:pPr>
            <w:r>
              <w:rPr/>
              <w:t>)</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13.6</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lineRule="auto" w:line="300" w:before="0" w:after="0"/>
              <w:jc w:val="right"/>
              <w:rPr/>
            </w:pPr>
            <w:r>
              <w:rPr/>
              <w:t>(109</w:t>
            </w:r>
          </w:p>
        </w:tc>
        <w:tc>
          <w:tcPr>
            <w:tcW w:w="313" w:type="dxa"/>
            <w:tcBorders/>
            <w:vAlign w:val="bottom"/>
          </w:tcPr>
          <w:p>
            <w:pPr>
              <w:pStyle w:val="TableContents"/>
              <w:bidi w:val="0"/>
              <w:spacing w:lineRule="auto" w:line="300" w:before="0" w:after="0"/>
              <w:jc w:val="left"/>
              <w:rPr/>
            </w:pPr>
            <w:r>
              <w:rPr/>
              <w:t>%)</w:t>
            </w:r>
          </w:p>
        </w:tc>
      </w:tr>
      <w:tr>
        <w:trPr/>
        <w:tc>
          <w:tcPr>
            <w:tcW w:w="4256" w:type="dxa"/>
            <w:tcBorders/>
            <w:shd w:fill="CCEEFF" w:val="clear"/>
            <w:vAlign w:val="bottom"/>
          </w:tcPr>
          <w:p>
            <w:pPr>
              <w:pStyle w:val="TableContents"/>
              <w:bidi w:val="0"/>
              <w:spacing w:lineRule="auto" w:line="300" w:before="0" w:after="0"/>
              <w:ind w:left="240" w:right="0" w:hanging="240"/>
              <w:jc w:val="left"/>
              <w:rPr/>
            </w:pPr>
            <w:r>
              <w:rPr/>
              <w:t>Diluted earnings (loss) per share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lineRule="auto" w:line="300" w:before="0" w:after="0"/>
              <w:jc w:val="right"/>
              <w:rPr/>
            </w:pPr>
            <w:r>
              <w:rPr/>
              <w:t>0.06</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lineRule="auto" w:line="300" w:before="0" w:after="0"/>
              <w:jc w:val="right"/>
              <w:rPr/>
            </w:pPr>
            <w:r>
              <w:rPr/>
              <w:t>0.14</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lineRule="auto" w:line="300" w:before="0" w:after="0"/>
              <w:jc w:val="right"/>
              <w:rPr/>
            </w:pPr>
            <w:r>
              <w:rPr/>
              <w:t>(55</w:t>
            </w:r>
          </w:p>
        </w:tc>
        <w:tc>
          <w:tcPr>
            <w:tcW w:w="290"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left"/>
              <w:rPr/>
            </w:pPr>
            <w:r>
              <w:rPr/>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(0.03</w:t>
            </w:r>
          </w:p>
        </w:tc>
        <w:tc>
          <w:tcPr>
            <w:tcW w:w="313" w:type="dxa"/>
            <w:tcBorders/>
            <w:shd w:fill="CCEEFF" w:val="clear"/>
            <w:vAlign w:val="bottom"/>
          </w:tcPr>
          <w:p>
            <w:pPr>
              <w:pStyle w:val="TableContents"/>
              <w:bidi w:val="0"/>
              <w:spacing w:lineRule="auto" w:line="300" w:before="0" w:after="0"/>
              <w:jc w:val="left"/>
              <w:rPr/>
            </w:pPr>
            <w:r>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0.16</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lineRule="auto" w:line="300" w:before="0" w:after="0"/>
              <w:jc w:val="right"/>
              <w:rPr/>
            </w:pPr>
            <w:r>
              <w:rPr/>
              <w:t>(118</w:t>
            </w:r>
          </w:p>
        </w:tc>
        <w:tc>
          <w:tcPr>
            <w:tcW w:w="313" w:type="dxa"/>
            <w:tcBorders/>
            <w:shd w:fill="CCEEFF" w:val="clear"/>
            <w:vAlign w:val="bottom"/>
          </w:tcPr>
          <w:p>
            <w:pPr>
              <w:pStyle w:val="TableContents"/>
              <w:bidi w:val="0"/>
              <w:spacing w:lineRule="auto" w:line="300" w:before="0" w:after="0"/>
              <w:jc w:val="left"/>
              <w:rPr/>
            </w:pPr>
            <w:r>
              <w:rPr/>
              <w:t>%)</w:t>
            </w:r>
          </w:p>
        </w:tc>
      </w:tr>
      <w:tr>
        <w:trPr/>
        <w:tc>
          <w:tcPr>
            <w:tcW w:w="4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lineRule="auto" w:line="300" w:before="0" w:after="0"/>
              <w:ind w:left="240" w:right="0" w:hanging="240"/>
              <w:jc w:val="left"/>
              <w:rPr>
                <w:b/>
              </w:rPr>
            </w:pPr>
            <w:r>
              <w:rPr>
                <w:b/>
              </w:rPr>
              <w:t>Non-IFRS Highlights</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lineRule="auto" w:line="300" w:before="0" w:after="0"/>
              <w:ind w:left="240" w:right="0" w:hanging="240"/>
              <w:jc w:val="left"/>
              <w:rPr/>
            </w:pPr>
            <w:r>
              <w:rPr/>
              <w:t>Contribution ex-TAC</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97.8</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87.8</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lineRule="auto" w:line="300" w:before="0" w:after="0"/>
              <w:jc w:val="right"/>
              <w:rPr/>
            </w:pPr>
            <w:r>
              <w:rPr/>
              <w:t>11</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182.4</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162.8</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lineRule="auto" w:line="300" w:before="0" w:after="0"/>
              <w:jc w:val="right"/>
              <w:rPr/>
            </w:pPr>
            <w:r>
              <w:rPr/>
              <w:t>12</w:t>
            </w:r>
          </w:p>
        </w:tc>
        <w:tc>
          <w:tcPr>
            <w:tcW w:w="313" w:type="dxa"/>
            <w:tcBorders/>
            <w:vAlign w:val="bottom"/>
          </w:tcPr>
          <w:p>
            <w:pPr>
              <w:pStyle w:val="TableContents"/>
              <w:bidi w:val="0"/>
              <w:spacing w:lineRule="auto" w:line="300" w:before="0" w:after="0"/>
              <w:jc w:val="left"/>
              <w:rPr/>
            </w:pPr>
            <w:r>
              <w:rPr/>
              <w:t>%</w:t>
            </w:r>
          </w:p>
        </w:tc>
      </w:tr>
      <w:tr>
        <w:trPr/>
        <w:tc>
          <w:tcPr>
            <w:tcW w:w="42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lineRule="auto" w:line="300" w:before="0" w:after="0"/>
              <w:ind w:left="240" w:right="0" w:hanging="240"/>
              <w:jc w:val="left"/>
              <w:rPr/>
            </w:pPr>
            <w:r>
              <w:rPr/>
              <w:t>Adjusted EBITDA</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27.6</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29.9</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lineRule="auto" w:line="300" w:before="0" w:after="0"/>
              <w:jc w:val="right"/>
              <w:rPr/>
            </w:pPr>
            <w:r>
              <w:rPr/>
              <w:t>(8</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43.9</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53.1</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lineRule="auto" w:line="300" w:before="0" w:after="0"/>
              <w:jc w:val="right"/>
              <w:rPr/>
            </w:pPr>
            <w:r>
              <w:rPr/>
              <w:t>(17</w:t>
            </w:r>
          </w:p>
        </w:tc>
        <w:tc>
          <w:tcPr>
            <w:tcW w:w="313" w:type="dxa"/>
            <w:tcBorders/>
            <w:vAlign w:val="bottom"/>
          </w:tcPr>
          <w:p>
            <w:pPr>
              <w:pStyle w:val="TableContents"/>
              <w:bidi w:val="0"/>
              <w:spacing w:lineRule="auto" w:line="300" w:before="0" w:after="0"/>
              <w:jc w:val="left"/>
              <w:rPr/>
            </w:pPr>
            <w:r>
              <w:rPr/>
              <w:t>%)</w:t>
            </w:r>
          </w:p>
        </w:tc>
      </w:tr>
      <w:tr>
        <w:trPr/>
        <w:tc>
          <w:tcPr>
            <w:tcW w:w="4256" w:type="dxa"/>
            <w:tcBorders/>
            <w:shd w:fill="CCEEFF" w:val="clear"/>
            <w:vAlign w:val="bottom"/>
          </w:tcPr>
          <w:p>
            <w:pPr>
              <w:pStyle w:val="TableContents"/>
              <w:bidi w:val="0"/>
              <w:spacing w:lineRule="auto" w:line="300" w:before="0" w:after="0"/>
              <w:ind w:left="240" w:right="0" w:hanging="240"/>
              <w:jc w:val="left"/>
              <w:rPr/>
            </w:pPr>
            <w:r>
              <w:rPr/>
              <w:t>Adjusted EBITDA Margin on a Contribution ex-TAC basis</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lineRule="auto" w:line="300" w:before="0" w:after="0"/>
              <w:jc w:val="right"/>
              <w:rPr/>
            </w:pPr>
            <w:r>
              <w:rPr/>
              <w:t>28</w:t>
            </w:r>
          </w:p>
        </w:tc>
        <w:tc>
          <w:tcPr>
            <w:tcW w:w="277" w:type="dxa"/>
            <w:tcBorders/>
            <w:shd w:fill="CCEEFF" w:val="clear"/>
            <w:vAlign w:val="bottom"/>
          </w:tcPr>
          <w:p>
            <w:pPr>
              <w:pStyle w:val="TableContents"/>
              <w:bidi w:val="0"/>
              <w:spacing w:lineRule="auto" w:line="300" w:before="0" w:after="0"/>
              <w:jc w:val="left"/>
              <w:rPr/>
            </w:pPr>
            <w:r>
              <w:rPr/>
              <w:t>%</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lineRule="auto" w:line="300" w:before="0" w:after="0"/>
              <w:jc w:val="right"/>
              <w:rPr/>
            </w:pPr>
            <w:r>
              <w:rPr/>
              <w:t>34</w:t>
            </w:r>
          </w:p>
        </w:tc>
        <w:tc>
          <w:tcPr>
            <w:tcW w:w="277" w:type="dxa"/>
            <w:tcBorders/>
            <w:shd w:fill="CCEEFF" w:val="clear"/>
            <w:vAlign w:val="bottom"/>
          </w:tcPr>
          <w:p>
            <w:pPr>
              <w:pStyle w:val="TableContents"/>
              <w:bidi w:val="0"/>
              <w:spacing w:lineRule="auto" w:line="300" w:before="0" w:after="0"/>
              <w:jc w:val="left"/>
              <w:rPr/>
            </w:pPr>
            <w:r>
              <w:rPr/>
              <w:t>%</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24</w:t>
            </w:r>
          </w:p>
        </w:tc>
        <w:tc>
          <w:tcPr>
            <w:tcW w:w="313" w:type="dxa"/>
            <w:tcBorders/>
            <w:shd w:fill="CCEEFF" w:val="clear"/>
            <w:vAlign w:val="bottom"/>
          </w:tcPr>
          <w:p>
            <w:pPr>
              <w:pStyle w:val="TableContents"/>
              <w:bidi w:val="0"/>
              <w:spacing w:lineRule="auto" w:line="300" w:before="0" w:after="0"/>
              <w:jc w:val="left"/>
              <w:rPr/>
            </w:pPr>
            <w:r>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33</w:t>
            </w:r>
          </w:p>
        </w:tc>
        <w:tc>
          <w:tcPr>
            <w:tcW w:w="232" w:type="dxa"/>
            <w:tcBorders/>
            <w:shd w:fill="CCEEFF" w:val="clear"/>
            <w:vAlign w:val="bottom"/>
          </w:tcPr>
          <w:p>
            <w:pPr>
              <w:pStyle w:val="TableContents"/>
              <w:bidi w:val="0"/>
              <w:spacing w:lineRule="auto" w:line="300" w:before="0" w:after="0"/>
              <w:jc w:val="left"/>
              <w:rPr/>
            </w:pPr>
            <w:r>
              <w:rPr/>
              <w:t>%</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r>
      <w:tr>
        <w:trPr/>
        <w:tc>
          <w:tcPr>
            <w:tcW w:w="42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r>
      <w:tr>
        <w:trPr/>
        <w:tc>
          <w:tcPr>
            <w:tcW w:w="4256" w:type="dxa"/>
            <w:tcBorders/>
            <w:shd w:fill="CCEEFF" w:val="clear"/>
            <w:vAlign w:val="bottom"/>
          </w:tcPr>
          <w:p>
            <w:pPr>
              <w:pStyle w:val="TableContents"/>
              <w:bidi w:val="0"/>
              <w:spacing w:lineRule="auto" w:line="300" w:before="0" w:after="0"/>
              <w:ind w:left="240" w:right="0" w:hanging="240"/>
              <w:jc w:val="left"/>
              <w:rPr/>
            </w:pPr>
            <w:r>
              <w:rPr/>
              <w:t>Non-IFRS net income</w:t>
            </w:r>
          </w:p>
        </w:tc>
        <w:tc>
          <w:tcPr>
            <w:tcW w:w="60"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lineRule="auto" w:line="300" w:before="0" w:after="0"/>
              <w:jc w:val="right"/>
              <w:rPr/>
            </w:pPr>
            <w:r>
              <w:rPr/>
              <w:t>13.3</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567" w:type="dxa"/>
            <w:tcBorders/>
            <w:shd w:fill="CCEEFF" w:val="clear"/>
            <w:vAlign w:val="bottom"/>
          </w:tcPr>
          <w:p>
            <w:pPr>
              <w:pStyle w:val="TableContents"/>
              <w:bidi w:val="0"/>
              <w:spacing w:lineRule="auto" w:line="300" w:before="0" w:after="0"/>
              <w:jc w:val="right"/>
              <w:rPr/>
            </w:pPr>
            <w:r>
              <w:rPr/>
              <w:t>18.2</w:t>
            </w:r>
          </w:p>
        </w:tc>
        <w:tc>
          <w:tcPr>
            <w:tcW w:w="2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432" w:type="dxa"/>
            <w:tcBorders/>
            <w:shd w:fill="CCEEFF" w:val="clear"/>
            <w:vAlign w:val="bottom"/>
          </w:tcPr>
          <w:p>
            <w:pPr>
              <w:pStyle w:val="TableContents"/>
              <w:bidi w:val="0"/>
              <w:spacing w:lineRule="auto" w:line="300" w:before="0" w:after="0"/>
              <w:jc w:val="right"/>
              <w:rPr/>
            </w:pPr>
            <w:r>
              <w:rPr/>
              <w:t>(27</w:t>
            </w:r>
          </w:p>
        </w:tc>
        <w:tc>
          <w:tcPr>
            <w:tcW w:w="290"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16.8</w:t>
            </w:r>
          </w:p>
        </w:tc>
        <w:tc>
          <w:tcPr>
            <w:tcW w:w="313"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lineRule="auto" w:line="300" w:before="0" w:after="0"/>
              <w:jc w:val="right"/>
              <w:rPr/>
            </w:pPr>
            <w:r>
              <w:rPr/>
              <w:t>28.8</w:t>
            </w:r>
          </w:p>
        </w:tc>
        <w:tc>
          <w:tcPr>
            <w:tcW w:w="23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lineRule="auto" w:line="300" w:before="0" w:after="0"/>
              <w:jc w:val="right"/>
              <w:rPr/>
            </w:pPr>
            <w:r>
              <w:rPr/>
              <w:t>(42</w:t>
            </w:r>
          </w:p>
        </w:tc>
        <w:tc>
          <w:tcPr>
            <w:tcW w:w="313" w:type="dxa"/>
            <w:tcBorders/>
            <w:shd w:fill="CCEEFF" w:val="clear"/>
            <w:vAlign w:val="bottom"/>
          </w:tcPr>
          <w:p>
            <w:pPr>
              <w:pStyle w:val="TableContents"/>
              <w:bidi w:val="0"/>
              <w:spacing w:lineRule="auto" w:line="300" w:before="0" w:after="0"/>
              <w:jc w:val="left"/>
              <w:rPr/>
            </w:pPr>
            <w:r>
              <w:rPr/>
              <w:t>%)</w:t>
            </w:r>
          </w:p>
        </w:tc>
      </w:tr>
      <w:tr>
        <w:trPr/>
        <w:tc>
          <w:tcPr>
            <w:tcW w:w="4256" w:type="dxa"/>
            <w:tcBorders/>
            <w:vAlign w:val="bottom"/>
          </w:tcPr>
          <w:p>
            <w:pPr>
              <w:pStyle w:val="TableContents"/>
              <w:bidi w:val="0"/>
              <w:spacing w:lineRule="auto" w:line="300" w:before="0" w:after="0"/>
              <w:ind w:left="240" w:right="0" w:hanging="240"/>
              <w:jc w:val="left"/>
              <w:rPr/>
            </w:pPr>
            <w:r>
              <w:rPr/>
              <w:t>Non-IFRS diluted earnings per share</w:t>
            </w:r>
          </w:p>
        </w:tc>
        <w:tc>
          <w:tcPr>
            <w:tcW w:w="60"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lineRule="auto" w:line="300" w:before="0" w:after="0"/>
              <w:jc w:val="right"/>
              <w:rPr/>
            </w:pPr>
            <w:r>
              <w:rPr/>
              <w:t>0.23</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567" w:type="dxa"/>
            <w:tcBorders/>
            <w:vAlign w:val="bottom"/>
          </w:tcPr>
          <w:p>
            <w:pPr>
              <w:pStyle w:val="TableContents"/>
              <w:bidi w:val="0"/>
              <w:spacing w:lineRule="auto" w:line="300" w:before="0" w:after="0"/>
              <w:jc w:val="right"/>
              <w:rPr/>
            </w:pPr>
            <w:r>
              <w:rPr/>
              <w:t>0.29</w:t>
            </w:r>
          </w:p>
        </w:tc>
        <w:tc>
          <w:tcPr>
            <w:tcW w:w="2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432" w:type="dxa"/>
            <w:tcBorders/>
            <w:vAlign w:val="bottom"/>
          </w:tcPr>
          <w:p>
            <w:pPr>
              <w:pStyle w:val="TableContents"/>
              <w:bidi w:val="0"/>
              <w:spacing w:lineRule="auto" w:line="300" w:before="0" w:after="0"/>
              <w:jc w:val="right"/>
              <w:rPr/>
            </w:pPr>
            <w:r>
              <w:rPr/>
              <w:t>(22</w:t>
            </w:r>
          </w:p>
        </w:tc>
        <w:tc>
          <w:tcPr>
            <w:tcW w:w="290"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0.29</w:t>
            </w:r>
          </w:p>
        </w:tc>
        <w:tc>
          <w:tcPr>
            <w:tcW w:w="313"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lineRule="auto" w:line="300" w:before="0" w:after="0"/>
              <w:jc w:val="right"/>
              <w:rPr/>
            </w:pPr>
            <w:r>
              <w:rPr/>
              <w:t>0.45</w:t>
            </w:r>
          </w:p>
        </w:tc>
        <w:tc>
          <w:tcPr>
            <w:tcW w:w="23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491" w:type="dxa"/>
            <w:tcBorders/>
            <w:vAlign w:val="bottom"/>
          </w:tcPr>
          <w:p>
            <w:pPr>
              <w:pStyle w:val="TableContents"/>
              <w:bidi w:val="0"/>
              <w:spacing w:lineRule="auto" w:line="300" w:before="0" w:after="0"/>
              <w:jc w:val="right"/>
              <w:rPr/>
            </w:pPr>
            <w:r>
              <w:rPr/>
              <w:t>(36</w:t>
            </w:r>
          </w:p>
        </w:tc>
        <w:tc>
          <w:tcPr>
            <w:tcW w:w="313" w:type="dxa"/>
            <w:tcBorders/>
            <w:vAlign w:val="bottom"/>
          </w:tcPr>
          <w:p>
            <w:pPr>
              <w:pStyle w:val="TableContents"/>
              <w:bidi w:val="0"/>
              <w:spacing w:lineRule="auto" w:line="300" w:before="0" w:after="0"/>
              <w:jc w:val="left"/>
              <w:rPr/>
            </w:pPr>
            <w:r>
              <w:rPr/>
              <w:t>%)</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Second Quarter 2026 Financial Results Webcast and Conference Call Details</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70" w:name="z284c060e71f143979887640871ef78b3"/>
      <w:bookmarkStart w:id="71" w:name="z284c060e71f143979887640871ef78b3"/>
      <w:bookmarkEnd w:id="71"/>
    </w:p>
    <w:tbl>
      <w:tblPr>
        <w:tblW w:w="4098" w:type="dxa"/>
        <w:jc w:val="left"/>
        <w:tblInd w:w="0" w:type="dxa"/>
        <w:tblLayout w:type="fixed"/>
        <w:tblCellMar>
          <w:top w:w="0" w:type="dxa"/>
          <w:left w:w="0" w:type="dxa"/>
          <w:bottom w:w="0" w:type="dxa"/>
          <w:right w:w="0" w:type="dxa"/>
        </w:tblCellMar>
      </w:tblPr>
      <w:tblGrid>
        <w:gridCol w:w="38"/>
        <w:gridCol w:w="110"/>
        <w:gridCol w:w="39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pPr>
            <w:r>
              <w:rPr>
                <w:b/>
              </w:rPr>
              <w:t xml:space="preserve">When: </w:t>
            </w:r>
            <w:r>
              <w:rPr/>
              <w:t>August 12, 2026, at 9:00 AM ET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z648293698e5549079d2a65ad0faf22a2"/>
      <w:bookmarkStart w:id="73" w:name="z648293698e5549079d2a65ad0faf22a2"/>
      <w:bookmarkEnd w:id="7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pPr>
            <w:r>
              <w:rPr>
                <w:b/>
              </w:rPr>
              <w:t xml:space="preserve">Webcast: </w:t>
            </w:r>
            <w:r>
              <w:rPr/>
              <w:t xml:space="preserve">A live and archived webcast can be accessed from the Events and Presentations section of Nexxen’s Investor Relations website at </w:t>
            </w:r>
            <w:r>
              <w:rPr>
                <w:u w:val="single"/>
              </w:rPr>
              <w:t>https://investors.nexxen.com/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z06bf45aa93f74d2581fc3261552c7380"/>
      <w:bookmarkStart w:id="75" w:name="z06bf45aa93f74d2581fc3261552c7380"/>
      <w:bookmarkEnd w:id="75"/>
    </w:p>
    <w:tbl>
      <w:tblPr>
        <w:tblW w:w="3183" w:type="dxa"/>
        <w:jc w:val="left"/>
        <w:tblInd w:w="0" w:type="dxa"/>
        <w:tblLayout w:type="fixed"/>
        <w:tblCellMar>
          <w:top w:w="0" w:type="dxa"/>
          <w:left w:w="0" w:type="dxa"/>
          <w:bottom w:w="0" w:type="dxa"/>
          <w:right w:w="0" w:type="dxa"/>
        </w:tblCellMar>
      </w:tblPr>
      <w:tblGrid>
        <w:gridCol w:w="38"/>
        <w:gridCol w:w="110"/>
        <w:gridCol w:w="30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0"/>
              <w:jc w:val="left"/>
              <w:rPr>
                <w:b/>
              </w:rPr>
            </w:pPr>
            <w:r>
              <w:rPr>
                <w:b/>
              </w:rPr>
              <w:t>Participant Dial-In Numbers: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z17cfe6c6e16b4a4aace49e514befbded"/>
      <w:bookmarkStart w:id="77" w:name="z17cfe6c6e16b4a4aace49e514befbded"/>
      <w:bookmarkEnd w:id="77"/>
    </w:p>
    <w:tbl>
      <w:tblPr>
        <w:tblW w:w="5673" w:type="dxa"/>
        <w:jc w:val="left"/>
        <w:tblInd w:w="0" w:type="dxa"/>
        <w:tblLayout w:type="fixed"/>
        <w:tblCellMar>
          <w:top w:w="0" w:type="dxa"/>
          <w:left w:w="0" w:type="dxa"/>
          <w:bottom w:w="0" w:type="dxa"/>
          <w:right w:w="0" w:type="dxa"/>
        </w:tblCellMar>
      </w:tblPr>
      <w:tblGrid>
        <w:gridCol w:w="38"/>
        <w:gridCol w:w="140"/>
        <w:gridCol w:w="549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5495" w:type="dxa"/>
            <w:tcBorders/>
            <w:vAlign w:val="center"/>
          </w:tcPr>
          <w:p>
            <w:pPr>
              <w:pStyle w:val="TableContents"/>
              <w:bidi w:val="0"/>
              <w:spacing w:before="0" w:after="0"/>
              <w:jc w:val="left"/>
              <w:rPr/>
            </w:pPr>
            <w:r>
              <w:rPr/>
              <w:t>U.S. / Canada Toll-Free Dial-In Number: (888) 596-4144</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z59f0e8f5bdd346f1af825acf023998fd"/>
      <w:bookmarkStart w:id="79" w:name="z59f0e8f5bdd346f1af825acf023998fd"/>
      <w:bookmarkEnd w:id="79"/>
    </w:p>
    <w:tbl>
      <w:tblPr>
        <w:tblW w:w="5088" w:type="dxa"/>
        <w:jc w:val="left"/>
        <w:tblInd w:w="0" w:type="dxa"/>
        <w:tblLayout w:type="fixed"/>
        <w:tblCellMar>
          <w:top w:w="0" w:type="dxa"/>
          <w:left w:w="0" w:type="dxa"/>
          <w:bottom w:w="0" w:type="dxa"/>
          <w:right w:w="0" w:type="dxa"/>
        </w:tblCellMar>
      </w:tblPr>
      <w:tblGrid>
        <w:gridCol w:w="38"/>
        <w:gridCol w:w="140"/>
        <w:gridCol w:w="4910"/>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4910" w:type="dxa"/>
            <w:tcBorders/>
            <w:vAlign w:val="center"/>
          </w:tcPr>
          <w:p>
            <w:pPr>
              <w:pStyle w:val="TableContents"/>
              <w:bidi w:val="0"/>
              <w:spacing w:before="0" w:after="0"/>
              <w:jc w:val="left"/>
              <w:rPr/>
            </w:pPr>
            <w:r>
              <w:rPr/>
              <w:t>U.K. Toll-Free Dial-In Number: +44 800 260 6470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0b93d07ba1a742e4b5283d55c98de4ac"/>
      <w:bookmarkStart w:id="81" w:name="z0b93d07ba1a742e4b5283d55c98de4ac"/>
      <w:bookmarkEnd w:id="81"/>
    </w:p>
    <w:tbl>
      <w:tblPr>
        <w:tblW w:w="4893" w:type="dxa"/>
        <w:jc w:val="left"/>
        <w:tblInd w:w="0" w:type="dxa"/>
        <w:tblLayout w:type="fixed"/>
        <w:tblCellMar>
          <w:top w:w="0" w:type="dxa"/>
          <w:left w:w="0" w:type="dxa"/>
          <w:bottom w:w="0" w:type="dxa"/>
          <w:right w:w="0" w:type="dxa"/>
        </w:tblCellMar>
      </w:tblPr>
      <w:tblGrid>
        <w:gridCol w:w="38"/>
        <w:gridCol w:w="140"/>
        <w:gridCol w:w="471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4715" w:type="dxa"/>
            <w:tcBorders/>
            <w:vAlign w:val="center"/>
          </w:tcPr>
          <w:p>
            <w:pPr>
              <w:pStyle w:val="TableContents"/>
              <w:bidi w:val="0"/>
              <w:spacing w:before="0" w:after="0"/>
              <w:jc w:val="left"/>
              <w:rPr/>
            </w:pPr>
            <w:r>
              <w:rPr/>
              <w:t>International Dial-In Number: +1 (646) 968-2525</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1565d140d11f40538e948b02d45db3d1"/>
      <w:bookmarkStart w:id="83" w:name="z1565d140d11f40538e948b02d45db3d1"/>
      <w:bookmarkEnd w:id="83"/>
    </w:p>
    <w:tbl>
      <w:tblPr>
        <w:tblW w:w="2583" w:type="dxa"/>
        <w:jc w:val="left"/>
        <w:tblInd w:w="0" w:type="dxa"/>
        <w:tblLayout w:type="fixed"/>
        <w:tblCellMar>
          <w:top w:w="0" w:type="dxa"/>
          <w:left w:w="0" w:type="dxa"/>
          <w:bottom w:w="0" w:type="dxa"/>
          <w:right w:w="0" w:type="dxa"/>
        </w:tblCellMar>
      </w:tblPr>
      <w:tblGrid>
        <w:gridCol w:w="38"/>
        <w:gridCol w:w="140"/>
        <w:gridCol w:w="2405"/>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2405" w:type="dxa"/>
            <w:tcBorders/>
            <w:vAlign w:val="center"/>
          </w:tcPr>
          <w:p>
            <w:pPr>
              <w:pStyle w:val="TableContents"/>
              <w:bidi w:val="0"/>
              <w:spacing w:before="0" w:after="0"/>
              <w:jc w:val="left"/>
              <w:rPr/>
            </w:pPr>
            <w:r>
              <w:rPr/>
              <w:t>Conference ID: 3103910</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About Nexxen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Nexxen is the advertising technology platform that delivers full-funnel performance powered by unique data and media. Comprised of a demand-side platform (“DSP”) and supply-side platform (“SSP”), with the Nexxen Data Platform at its core, we meet the demands of today’s converging media landscape with exclusive audience intelligence, automation and expertise.</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Headquartered in Israel, Nexxen maintains offices throughout North America, Europe and Asia-Pacific and is traded on Nasdaq (NEXN). For more information, please visit nexxen.com.</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rPr>
      </w:pPr>
      <w:r>
        <w:rPr>
          <w:rFonts w:ascii="Times New Roman;Times;serif" w:hAnsi="Times New Roman;Times;serif"/>
          <w:b/>
          <w:color w:val="000000"/>
          <w:sz w:val="20"/>
        </w:rPr>
        <w:t>For further information please contact: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Billy Eckert, Vice President of Investor Relations</w:t>
        <w:br/>
      </w:r>
      <w:r>
        <w:rPr>
          <w:rFonts w:ascii="Times New Roman;Times;serif" w:hAnsi="Times New Roman;Times;serif"/>
          <w:color w:val="000000"/>
          <w:sz w:val="20"/>
          <w:u w:val="single"/>
        </w:rPr>
        <w:t>ir@nexxen.com</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Caroline Smith, Vice President of Communications</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csmith@nexxen.com</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Forward Looking Statements</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This press release contains forward-looking statements, including forward-looking statements within the meaning of Section 27A of the United States Securities Act of 1933, as amended, and Section 21E of the United States Securities Exchange Act of 1934, as amended. Forward-looking statements are identified by words such as “anticipates,” “believes,” “expects,” “intends,” “may,” “can,” “will,” “estimates,” and other similar expressions. However, these words are not the only way Nexxen identifies forward-looking statements. All statements contained in this press release that do not relate to matters of historical fact should be considered forward-looking statements, including without limitation statements regarding anticipated financial results for Q3 and full year 2026 and beyond; anticipated benefits of Nexxen’s strategic transactions and commercial partnerships; anticipated features and benefits of Nexxen’s products and service offerings, including anticipated benefits relating to nexAI, MCP and A2A interoperability and the Company's AI investment strategy; anticipated industry adoption of Nexxen’s programmatic Smart TV home screen ad activation solution (Nexxen TV Home Screen); Nexxen’s positioning for accelerated growth and continued future growth; Nexxen’s medium- to long-term prospects; management’s belief that Nexxen is well-positioned to benefit from future industry growth trends and Company-specific catalysts; the Company’s plans with respect to its cash reserves as well as its future share repurchase programs and further investment in V (formerly VIDAA); the Company’s plans to pursue strategic opportunities for its non-programmatic business lines and other targeted, smaller-scale strategic opportunities to accelerate programmatic revenue growth and expand capabilities; anticipated benefits from the renewed and expanded strategic partnership with V, as well as any other statements related to Nexxen’s future financial results and operating performance. These statements are neither promises nor guarantees but involve known and unknown risks, uncertainties and other important factors that may cause Nexxen’s actual results, performance or achievements to be materially different from its expectations expressed or implied by the forward-looking statements, including, but not limited to, the following: negative global economic conditions, including risks related to tariff impacts or policy shifts (including trade negotiations or enforcement actions) that could materially affect market sentiment, consumer behavior and advertising demand; global conflicts and war, including the conflict involving Israel and Iran and related regional and international tensions, including U.S. military involvement, and the war and hostilities between Israel and Hamas, Hezbollah and the Houthis in Yemen, and how those conditions may adversely impact Nexxen’s business, customers and the markets in which Nexxen competes; changes in industry trends; and other negative developments in Nexxen’s business or unfavorable legislative or regulatory developments. Nexxen cautions you not to place undue reliance on these forward-looking statements. For a more detailed discussion of these factors, and other factors that could cause actual results to vary materially, interested parties should review the risk factors listed in the Company’s most recent Annual Report filed with the U.S. Securities and Exchange Commission (www.sec.gov) on Form 20-F. Any forward-looking statements made by Nexxen in this press release speak only as of the date of this press release, and Nexxen does not intend to update these forward-looking statements after the date of this press release, except as required by law.</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Nexxen, and the Nexxen logo are trademarks of Nexxen International Ltd. in the United States and other countries. All other trademarks are the property of their respective owners. The use of the word “partner” or “partnership” in this press release does not mean a legal partner or legal partnership.</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b/>
          <w:color w:val="000000"/>
          <w:sz w:val="20"/>
          <w:u w:val="single"/>
        </w:rPr>
      </w:pPr>
      <w:r>
        <w:rPr>
          <w:rFonts w:ascii="Times New Roman;Times;serif" w:hAnsi="Times New Roman;Times;serif"/>
          <w:b/>
          <w:color w:val="000000"/>
          <w:sz w:val="20"/>
          <w:u w:val="single"/>
        </w:rPr>
        <w:t>Use of Non-IFRS Financial Information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 addition to our IFRS results, we review certain non-IFRS financial measures to help us evaluate our business, measure our performance, identify trends affecting our business, establish budgets, measure the effectiveness of investments in technology and development and sales and marketing, and assess our operational efficiencies. These non-IFRS measures include Contribution ex-TAC, Adjusted EBITDA, Adjusted EBITDA Margin, Non-IFRS Net Income and Non-IFRS Earnings per Share, each of which is discussed below.</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These non-IFRS financial measures are not intended to be considered in isolation from, as substitutes for, or as superior to the corresponding financial measures prepared in accordance with IFRS. You are encouraged to evaluate these adjustments and review the reconciliation of these non-IFRS financial measures to their most comparable IFRS measures and the reasons we consider them appropriate. It is important to note that the particular items we exclude from, or include in, our non-IFRS financial measures may differ from the items excluded from, or included in, similar non-IFRS financial measures used by other companies. See "Reconciliation of Revenue to Contribution ex-TAC," "Reconciliation of Total Comprehensive Income (Loss) to Adjusted EBITDA," and "Reconciliation of Net Income (Loss) to Non-IFRS Net Income," included as part of this press release.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4" w:name="zfb70c54f1f794b5eb2926f3af064d5b2"/>
      <w:bookmarkStart w:id="85" w:name="zfb70c54f1f794b5eb2926f3af064d5b2"/>
      <w:bookmarkEnd w:id="85"/>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b/>
              </w:rPr>
              <w:t>Contribution ex-TAC</w:t>
            </w:r>
            <w:r>
              <w:rPr/>
              <w:t>: Contribution ex-TAC for Nexxen is defined as gross profit plus depreciation and amortization attributable to cost of revenue and cost of revenue (exclusive of depreciation and amortization) minus Performance (non-programmatic) media costs (“traffic acquisition costs” or “TAC”). Performance (non-programmatic) media costs represent the costs of purchases of impressions from publishers on a cost-per-thousand impression basis in our non-core, non-programmatic Performance activities. Contribution ex-TAC is a supplemental measure of our financial performance that is not required by or presented in accordance with IFRS. Contribution ex-TAC should not be considered as an alternative to gross profit as a measure of financial performance. Contribution ex-TAC is a non-IFRS financial measure and should not be viewed in isolation. We believe Contribution ex-TAC is a useful measure in assessing the performance of Nexxen because it facilitates a consistent comparison against our core business without considering the impact of traffic acquisition costs related to revenue reported on a gross basis.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6" w:name="z810280a9f54a419a942301f587be65d7"/>
      <w:bookmarkStart w:id="87" w:name="z810280a9f54a419a942301f587be65d7"/>
      <w:bookmarkEnd w:id="87"/>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b/>
              </w:rPr>
              <w:t>Adjusted EBITDA</w:t>
            </w:r>
            <w:r>
              <w:rPr/>
              <w:t>: We define Adjusted EBITDA for Nexxen as total comprehensive income (loss) for the period adjusted for foreign currency translation differences for foreign operations, tax expenses, financial income, net, depreciation and amortization, stock-based compensation expenses, restructuring and delisting related one-time costs. Adjusted EBITDA is included in the press release because it is a key metric used by management and our Board of Directors to assess our financial performance. Adjusted EBITDA is frequently used by analysts, investors and other interested parties to evaluate companies in our industry. Management believes that Adjusted EBITDA is an appropriate measure of operating performance because it eliminates the impact of expenses that do not relate directly to the performance of the underlying business.</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88" w:name="z02da69231e73426aa414cb203bd5a8b9"/>
      <w:bookmarkStart w:id="89" w:name="z02da69231e73426aa414cb203bd5a8b9"/>
      <w:bookmarkEnd w:id="89"/>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b/>
              </w:rPr>
              <w:t>Adjusted EBITDA</w:t>
            </w:r>
            <w:r>
              <w:rPr/>
              <w:t> </w:t>
            </w:r>
            <w:r>
              <w:rPr>
                <w:b/>
              </w:rPr>
              <w:t>Margin:</w:t>
            </w:r>
            <w:r>
              <w:rPr/>
              <w:t xml:space="preserve"> We define Adjusted EBITDA Margin as Adjusted EBITDA as a percentage of Contribution ex-TAC.</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90" w:name="z92ba1e4df02d4bc8b07e72e74a69901c"/>
      <w:bookmarkStart w:id="91" w:name="z92ba1e4df02d4bc8b07e72e74a69901c"/>
      <w:bookmarkEnd w:id="91"/>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pPr>
            <w:r>
              <w:rPr/>
            </w:r>
          </w:p>
        </w:tc>
        <w:tc>
          <w:tcPr>
            <w:tcW w:w="140" w:type="dxa"/>
            <w:tcBorders/>
            <w:vAlign w:val="center"/>
          </w:tcPr>
          <w:p>
            <w:pPr>
              <w:pStyle w:val="TableContents"/>
              <w:bidi w:val="0"/>
              <w:spacing w:before="0" w:after="283"/>
              <w:jc w:val="left"/>
              <w:rPr/>
            </w:pPr>
            <w:r>
              <w:rPr/>
              <w:t>o</w:t>
            </w:r>
          </w:p>
        </w:tc>
        <w:tc>
          <w:tcPr>
            <w:tcW w:w="10027" w:type="dxa"/>
            <w:tcBorders/>
            <w:vAlign w:val="center"/>
          </w:tcPr>
          <w:p>
            <w:pPr>
              <w:pStyle w:val="TableContents"/>
              <w:bidi w:val="0"/>
              <w:spacing w:before="0" w:after="0"/>
              <w:jc w:val="both"/>
              <w:rPr/>
            </w:pPr>
            <w:r>
              <w:rPr>
                <w:b/>
              </w:rPr>
              <w:t xml:space="preserve">Non-IFRS Net Income and Non-IFRS Earnings per Share: </w:t>
            </w:r>
            <w:r>
              <w:rPr/>
              <w:t>We define non-IFRS earnings per share as non-IFRS net income divided by non-IFRS weighted-average shares outstanding. Non-IFRS net income is equal to net income (loss) excluding amortization of acquired intangibles, restructuring, delisting related one-time costs and stock-based compensation expenses, and also considers the tax effects of non-IFRS adjustments. In periods in which we have non-IFRS net income, non-IFRS weighted-average shares outstanding used to calculate non-IFRS earnings per share include the impact of potentially dilutive shares. Potentially dilutive shares consist of stock options, restricted stock awards, restricted stock units and performance stock units, each computed using the treasury stock method. We believe non-IFRS earnings per share is useful to investors for evaluating our ongoing operational performance and trends on a per share basis and also facilitates comparison of our financial results on a per share basis with other companies, many of which present a similar non-IFRS measure. However, a potential limitation of our use of non-IFRS earnings per share is that other companies may define non-IFRS earnings per share differently, which may make comparison difficult. This measure may also exclude expenses that may have a material impact on our reported financial results. Non-IFRS earnings per share is a performance measure and should not be used as a measure of liquidity. Because of these limitations, we also consider the comparable IFRS measure of net income.</w:t>
            </w:r>
          </w:p>
        </w:tc>
      </w:tr>
    </w:tbl>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We do not provide a reconciliation of forward-looking non-IFRS financial metrics because reconciling information is not available without an unreasonable effort, such as attempting to make assumptions that cannot reasonably be made on a forward-looking basis to determine the corresponding IFRS metric.</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Reconciliation of Total Comprehensive Income (Loss) to Adjusted EBITDA</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2" w:name="z28f24e8e0af544939f120ef7dfd18ec2"/>
      <w:bookmarkStart w:id="93" w:name="z28f24e8e0af544939f120ef7dfd18ec2"/>
      <w:bookmarkEnd w:id="93"/>
    </w:p>
    <w:tbl>
      <w:tblPr>
        <w:tblW w:w="10205" w:type="dxa"/>
        <w:jc w:val="left"/>
        <w:tblInd w:w="0" w:type="dxa"/>
        <w:tblLayout w:type="fixed"/>
        <w:tblCellMar>
          <w:top w:w="0" w:type="dxa"/>
          <w:left w:w="0" w:type="dxa"/>
          <w:bottom w:w="0" w:type="dxa"/>
          <w:right w:w="0" w:type="dxa"/>
        </w:tblCellMar>
      </w:tblPr>
      <w:tblGrid>
        <w:gridCol w:w="4177"/>
        <w:gridCol w:w="60"/>
        <w:gridCol w:w="73"/>
        <w:gridCol w:w="836"/>
        <w:gridCol w:w="116"/>
        <w:gridCol w:w="73"/>
        <w:gridCol w:w="73"/>
        <w:gridCol w:w="836"/>
        <w:gridCol w:w="116"/>
        <w:gridCol w:w="73"/>
        <w:gridCol w:w="73"/>
        <w:gridCol w:w="412"/>
        <w:gridCol w:w="335"/>
        <w:gridCol w:w="60"/>
        <w:gridCol w:w="65"/>
        <w:gridCol w:w="749"/>
        <w:gridCol w:w="104"/>
        <w:gridCol w:w="65"/>
        <w:gridCol w:w="65"/>
        <w:gridCol w:w="749"/>
        <w:gridCol w:w="104"/>
        <w:gridCol w:w="65"/>
        <w:gridCol w:w="65"/>
        <w:gridCol w:w="501"/>
        <w:gridCol w:w="360"/>
      </w:tblGrid>
      <w:tr>
        <w:trPr/>
        <w:tc>
          <w:tcPr>
            <w:tcW w:w="4177"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681"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 June 30</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2"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 June 30</w:t>
            </w:r>
          </w:p>
        </w:tc>
        <w:tc>
          <w:tcPr>
            <w:tcW w:w="360" w:type="dxa"/>
            <w:tcBorders/>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90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0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8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66"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360" w:type="dxa"/>
            <w:tcBorders/>
            <w:vAlign w:val="bottom"/>
          </w:tcPr>
          <w:p>
            <w:pPr>
              <w:pStyle w:val="TableContents"/>
              <w:bidi w:val="0"/>
              <w:spacing w:before="0" w:after="283"/>
              <w:jc w:val="left"/>
              <w:rPr/>
            </w:pPr>
            <w:r>
              <w:rPr/>
              <w:t> </w:t>
            </w:r>
          </w:p>
        </w:tc>
      </w:tr>
      <w:tr>
        <w:trPr/>
        <w:tc>
          <w:tcPr>
            <w:tcW w:w="4177" w:type="dxa"/>
            <w:tcBorders/>
            <w:shd w:fill="CCEEFF" w:val="clear"/>
            <w:vAlign w:val="bottom"/>
          </w:tcPr>
          <w:p>
            <w:pPr>
              <w:pStyle w:val="TableContents"/>
              <w:bidi w:val="0"/>
              <w:spacing w:lineRule="auto" w:line="300" w:before="0" w:after="0"/>
              <w:jc w:val="left"/>
              <w:rPr>
                <w:b/>
              </w:rPr>
            </w:pPr>
            <w:r>
              <w:rPr>
                <w:b/>
              </w:rPr>
              <w:t>($ in thousands)</w:t>
            </w:r>
          </w:p>
        </w:tc>
        <w:tc>
          <w:tcPr>
            <w:tcW w:w="60" w:type="dxa"/>
            <w:tcBorders/>
            <w:shd w:fill="CCEEFF" w:val="clear"/>
            <w:vAlign w:val="bottom"/>
          </w:tcPr>
          <w:p>
            <w:pPr>
              <w:pStyle w:val="TableContents"/>
              <w:bidi w:val="0"/>
              <w:spacing w:before="0" w:after="283"/>
              <w:jc w:val="left"/>
              <w:rPr/>
            </w:pPr>
            <w:r>
              <w:rPr/>
              <w:t> </w:t>
            </w:r>
          </w:p>
        </w:tc>
        <w:tc>
          <w:tcPr>
            <w:tcW w:w="909" w:type="dxa"/>
            <w:gridSpan w:val="2"/>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9" w:type="dxa"/>
            <w:gridSpan w:val="2"/>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85" w:type="dxa"/>
            <w:gridSpan w:val="2"/>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66" w:type="dxa"/>
            <w:gridSpan w:val="2"/>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lineRule="auto" w:line="300" w:before="0" w:after="0"/>
              <w:ind w:left="240" w:right="0" w:hanging="240"/>
              <w:jc w:val="left"/>
              <w:rPr>
                <w:b/>
              </w:rPr>
            </w:pPr>
            <w:r>
              <w:rPr>
                <w:b/>
              </w:rPr>
              <w:t>Total comprehensive income (loss)</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b/>
              </w:rPr>
            </w:pPr>
            <w:r>
              <w:rPr>
                <w:b/>
              </w:rPr>
              <w:t>4,212</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b/>
              </w:rPr>
            </w:pPr>
            <w:r>
              <w:rPr>
                <w:b/>
              </w:rPr>
              <w:t>11,256</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lineRule="auto" w:line="300" w:before="0" w:after="0"/>
              <w:jc w:val="right"/>
              <w:rPr>
                <w:b/>
              </w:rPr>
            </w:pPr>
            <w:r>
              <w:rPr>
                <w:b/>
              </w:rPr>
              <w:t>(63</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b/>
              </w:rPr>
            </w:pPr>
            <w:r>
              <w:rPr>
                <w:b/>
              </w:rPr>
              <w:t>(1,245</w:t>
            </w:r>
          </w:p>
        </w:tc>
        <w:tc>
          <w:tcPr>
            <w:tcW w:w="104" w:type="dxa"/>
            <w:tcBorders/>
            <w:vAlign w:val="bottom"/>
          </w:tcPr>
          <w:p>
            <w:pPr>
              <w:pStyle w:val="TableContents"/>
              <w:bidi w:val="0"/>
              <w:spacing w:lineRule="auto" w:line="300" w:before="0" w:after="0"/>
              <w:jc w:val="left"/>
              <w:rPr>
                <w:b/>
              </w:rPr>
            </w:pPr>
            <w:r>
              <w:rPr>
                <w:b/>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b/>
              </w:rPr>
            </w:pPr>
            <w:r>
              <w:rPr>
                <w:b/>
              </w:rPr>
              <w:t>13,647</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lineRule="auto" w:line="300" w:before="0" w:after="0"/>
              <w:jc w:val="right"/>
              <w:rPr>
                <w:b/>
              </w:rPr>
            </w:pPr>
            <w:r>
              <w:rPr>
                <w:b/>
              </w:rPr>
              <w:t>(109</w:t>
            </w:r>
          </w:p>
        </w:tc>
        <w:tc>
          <w:tcPr>
            <w:tcW w:w="360" w:type="dxa"/>
            <w:tcBorders/>
            <w:vAlign w:val="bottom"/>
          </w:tcPr>
          <w:p>
            <w:pPr>
              <w:pStyle w:val="TableContents"/>
              <w:bidi w:val="0"/>
              <w:spacing w:lineRule="auto" w:line="300" w:before="0" w:after="0"/>
              <w:jc w:val="left"/>
              <w:rPr>
                <w:b/>
              </w:rPr>
            </w:pPr>
            <w:r>
              <w:rPr>
                <w:b/>
              </w:rPr>
              <w:t>%)</w:t>
            </w:r>
          </w:p>
        </w:tc>
      </w:tr>
      <w:tr>
        <w:trPr/>
        <w:tc>
          <w:tcPr>
            <w:tcW w:w="4177" w:type="dxa"/>
            <w:tcBorders/>
            <w:shd w:fill="CCEEFF" w:val="clear"/>
            <w:vAlign w:val="bottom"/>
          </w:tcPr>
          <w:p>
            <w:pPr>
              <w:pStyle w:val="TableContents"/>
              <w:bidi w:val="0"/>
              <w:spacing w:lineRule="auto" w:line="300" w:before="0" w:after="0"/>
              <w:ind w:left="166" w:right="0" w:hanging="0"/>
              <w:jc w:val="left"/>
              <w:rPr/>
            </w:pPr>
            <w:r>
              <w:rPr/>
              <w:t>Foreign currency translation differences for foreign operation</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(572</w:t>
            </w:r>
          </w:p>
        </w:tc>
        <w:tc>
          <w:tcPr>
            <w:tcW w:w="116" w:type="dxa"/>
            <w:tcBorders/>
            <w:shd w:fill="CCEEFF" w:val="clear"/>
            <w:vAlign w:val="bottom"/>
          </w:tcPr>
          <w:p>
            <w:pPr>
              <w:pStyle w:val="TableContents"/>
              <w:bidi w:val="0"/>
              <w:spacing w:lineRule="auto" w:line="300" w:before="0" w:after="0"/>
              <w:jc w:val="left"/>
              <w:rPr/>
            </w:pPr>
            <w:r>
              <w:rPr/>
              <w:t>)</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(2,590</w:t>
            </w:r>
          </w:p>
        </w:tc>
        <w:tc>
          <w:tcPr>
            <w:tcW w:w="116" w:type="dxa"/>
            <w:tcBorders/>
            <w:shd w:fill="CCEEFF" w:val="clear"/>
            <w:vAlign w:val="bottom"/>
          </w:tcPr>
          <w:p>
            <w:pPr>
              <w:pStyle w:val="TableContents"/>
              <w:bidi w:val="0"/>
              <w:spacing w:lineRule="auto" w:line="300" w:before="0" w:after="0"/>
              <w:jc w:val="left"/>
              <w:rPr/>
            </w:pPr>
            <w:r>
              <w:rPr/>
              <w:t>)</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(430</w:t>
            </w:r>
          </w:p>
        </w:tc>
        <w:tc>
          <w:tcPr>
            <w:tcW w:w="104"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(3,348</w:t>
            </w:r>
          </w:p>
        </w:tc>
        <w:tc>
          <w:tcPr>
            <w:tcW w:w="104"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lineRule="auto" w:line="300" w:before="0" w:after="0"/>
              <w:ind w:left="166" w:right="0" w:hanging="0"/>
              <w:jc w:val="left"/>
              <w:rPr/>
            </w:pPr>
            <w:r>
              <w:rPr/>
              <w:t>Tax expenses</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pPr>
            <w:r>
              <w:rPr/>
              <w:t>1,218</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pPr>
            <w:r>
              <w:rPr/>
              <w:t>1,437</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pPr>
            <w:r>
              <w:rPr/>
              <w:t>1,318</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pPr>
            <w:r>
              <w:rPr/>
              <w:t>4,313</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4177" w:type="dxa"/>
            <w:tcBorders/>
            <w:shd w:fill="CCEEFF" w:val="clear"/>
            <w:vAlign w:val="bottom"/>
          </w:tcPr>
          <w:p>
            <w:pPr>
              <w:pStyle w:val="TableContents"/>
              <w:bidi w:val="0"/>
              <w:spacing w:lineRule="auto" w:line="300" w:before="0" w:after="0"/>
              <w:ind w:left="166" w:right="0" w:hanging="0"/>
              <w:jc w:val="left"/>
              <w:rPr/>
            </w:pPr>
            <w:r>
              <w:rPr/>
              <w:t>Financial income, net</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(699</w:t>
            </w:r>
          </w:p>
        </w:tc>
        <w:tc>
          <w:tcPr>
            <w:tcW w:w="116" w:type="dxa"/>
            <w:tcBorders/>
            <w:shd w:fill="CCEEFF" w:val="clear"/>
            <w:vAlign w:val="bottom"/>
          </w:tcPr>
          <w:p>
            <w:pPr>
              <w:pStyle w:val="TableContents"/>
              <w:bidi w:val="0"/>
              <w:spacing w:lineRule="auto" w:line="300" w:before="0" w:after="0"/>
              <w:jc w:val="left"/>
              <w:rPr/>
            </w:pPr>
            <w:r>
              <w:rPr/>
              <w:t>)</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(1,399</w:t>
            </w:r>
          </w:p>
        </w:tc>
        <w:tc>
          <w:tcPr>
            <w:tcW w:w="116" w:type="dxa"/>
            <w:tcBorders/>
            <w:shd w:fill="CCEEFF" w:val="clear"/>
            <w:vAlign w:val="bottom"/>
          </w:tcPr>
          <w:p>
            <w:pPr>
              <w:pStyle w:val="TableContents"/>
              <w:bidi w:val="0"/>
              <w:spacing w:lineRule="auto" w:line="300" w:before="0" w:after="0"/>
              <w:jc w:val="left"/>
              <w:rPr/>
            </w:pPr>
            <w:r>
              <w:rPr/>
              <w:t>)</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(348</w:t>
            </w:r>
          </w:p>
        </w:tc>
        <w:tc>
          <w:tcPr>
            <w:tcW w:w="104"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(2,459</w:t>
            </w:r>
          </w:p>
        </w:tc>
        <w:tc>
          <w:tcPr>
            <w:tcW w:w="104"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lineRule="auto" w:line="300" w:before="0" w:after="0"/>
              <w:ind w:left="166" w:right="0" w:hanging="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pPr>
            <w:r>
              <w:rPr/>
              <w:t>17,751</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pPr>
            <w:r>
              <w:rPr/>
              <w:t>15,521</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pPr>
            <w:r>
              <w:rPr/>
              <w:t>34,067</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pPr>
            <w:r>
              <w:rPr/>
              <w:t>30,788</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4177" w:type="dxa"/>
            <w:tcBorders/>
            <w:shd w:fill="CCEEFF" w:val="clear"/>
            <w:vAlign w:val="bottom"/>
          </w:tcPr>
          <w:p>
            <w:pPr>
              <w:pStyle w:val="TableContents"/>
              <w:bidi w:val="0"/>
              <w:spacing w:lineRule="auto" w:line="300" w:before="0" w:after="0"/>
              <w:ind w:left="166" w:right="0" w:hanging="0"/>
              <w:jc w:val="left"/>
              <w:rPr/>
            </w:pPr>
            <w:r>
              <w:rPr/>
              <w:t>Stock-based compensation expenses</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4,388</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5,709</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9,201</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8,609</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lineRule="auto" w:line="300" w:before="0" w:after="0"/>
              <w:ind w:left="166" w:right="0" w:hanging="0"/>
              <w:jc w:val="left"/>
              <w:rPr/>
            </w:pPr>
            <w:r>
              <w:rPr/>
              <w:t>Restructuring</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pPr>
            <w:r>
              <w:rPr/>
              <w:t>1,323</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pPr>
            <w:r>
              <w:rPr/>
              <w:t>-</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pPr>
            <w:r>
              <w:rPr/>
              <w:t>1,323</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pPr>
            <w:r>
              <w:rPr/>
              <w:t>-</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 </w:t>
            </w:r>
          </w:p>
        </w:tc>
        <w:tc>
          <w:tcPr>
            <w:tcW w:w="360" w:type="dxa"/>
            <w:tcBorders/>
            <w:vAlign w:val="bottom"/>
          </w:tcPr>
          <w:p>
            <w:pPr>
              <w:pStyle w:val="TableContents"/>
              <w:bidi w:val="0"/>
              <w:spacing w:before="0" w:after="283"/>
              <w:jc w:val="left"/>
              <w:rPr/>
            </w:pPr>
            <w:r>
              <w:rPr/>
              <w:t> </w:t>
            </w:r>
          </w:p>
        </w:tc>
      </w:tr>
      <w:tr>
        <w:trPr/>
        <w:tc>
          <w:tcPr>
            <w:tcW w:w="4177" w:type="dxa"/>
            <w:tcBorders/>
            <w:shd w:fill="CCEEFF" w:val="clear"/>
            <w:vAlign w:val="bottom"/>
          </w:tcPr>
          <w:p>
            <w:pPr>
              <w:pStyle w:val="TableContents"/>
              <w:bidi w:val="0"/>
              <w:spacing w:lineRule="auto" w:line="300" w:before="0" w:after="0"/>
              <w:ind w:left="166" w:right="0" w:hanging="0"/>
              <w:jc w:val="left"/>
              <w:rPr/>
            </w:pPr>
            <w:r>
              <w:rPr/>
              <w:t>Delisting related one-time costs</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lineRule="auto" w:line="300" w:before="0" w:after="0"/>
              <w:jc w:val="right"/>
              <w:rPr/>
            </w:pPr>
            <w:r>
              <w:rPr/>
              <w:t>-</w:t>
            </w:r>
          </w:p>
        </w:tc>
        <w:tc>
          <w:tcPr>
            <w:tcW w:w="11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lineRule="auto" w:line="300" w:before="0" w:after="0"/>
              <w:jc w:val="right"/>
              <w:rPr/>
            </w:pPr>
            <w:r>
              <w:rPr/>
              <w:t>1,520</w:t>
            </w:r>
          </w:p>
        </w:tc>
        <w:tc>
          <w:tcPr>
            <w:tcW w:w="104"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501" w:type="dxa"/>
            <w:tcBorders/>
            <w:shd w:fill="CCEEFF" w:val="clear"/>
            <w:vAlign w:val="bottom"/>
          </w:tcPr>
          <w:p>
            <w:pPr>
              <w:pStyle w:val="TableContents"/>
              <w:bidi w:val="0"/>
              <w:spacing w:before="0" w:after="283"/>
              <w:jc w:val="right"/>
              <w:rPr/>
            </w:pPr>
            <w:r>
              <w:rPr/>
              <w:t> </w:t>
            </w:r>
          </w:p>
        </w:tc>
        <w:tc>
          <w:tcPr>
            <w:tcW w:w="360" w:type="dxa"/>
            <w:tcBorders/>
            <w:shd w:fill="CCEEFF" w:val="clear"/>
            <w:vAlign w:val="bottom"/>
          </w:tcPr>
          <w:p>
            <w:pPr>
              <w:pStyle w:val="TableContents"/>
              <w:bidi w:val="0"/>
              <w:spacing w:before="0" w:after="283"/>
              <w:jc w:val="left"/>
              <w:rPr/>
            </w:pPr>
            <w:r>
              <w:rPr/>
              <w:t> </w:t>
            </w:r>
          </w:p>
        </w:tc>
      </w:tr>
      <w:tr>
        <w:trPr/>
        <w:tc>
          <w:tcPr>
            <w:tcW w:w="4177" w:type="dxa"/>
            <w:tcBorders/>
            <w:vAlign w:val="bottom"/>
          </w:tcPr>
          <w:p>
            <w:pPr>
              <w:pStyle w:val="TableContents"/>
              <w:bidi w:val="0"/>
              <w:spacing w:lineRule="auto" w:line="300" w:before="0" w:after="0"/>
              <w:ind w:left="447" w:right="0" w:hanging="447"/>
              <w:jc w:val="left"/>
              <w:rPr>
                <w:b/>
              </w:rPr>
            </w:pPr>
            <w:r>
              <w:rPr>
                <w:b/>
              </w:rPr>
              <w:t>Adjusted EBITDA</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b/>
              </w:rPr>
            </w:pPr>
            <w:r>
              <w:rPr>
                <w:b/>
              </w:rPr>
              <w:t>27,621</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lineRule="auto" w:line="300" w:before="0" w:after="0"/>
              <w:jc w:val="right"/>
              <w:rPr>
                <w:b/>
              </w:rPr>
            </w:pPr>
            <w:r>
              <w:rPr>
                <w:b/>
              </w:rPr>
              <w:t>29,934</w:t>
            </w:r>
          </w:p>
        </w:tc>
        <w:tc>
          <w:tcPr>
            <w:tcW w:w="11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lineRule="auto" w:line="300" w:before="0" w:after="0"/>
              <w:jc w:val="right"/>
              <w:rPr>
                <w:b/>
              </w:rPr>
            </w:pPr>
            <w:r>
              <w:rPr>
                <w:b/>
              </w:rPr>
              <w:t>(8</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b/>
              </w:rPr>
            </w:pPr>
            <w:r>
              <w:rPr>
                <w:b/>
              </w:rPr>
              <w:t>43,886</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lineRule="auto" w:line="300" w:before="0" w:after="0"/>
              <w:jc w:val="right"/>
              <w:rPr>
                <w:b/>
              </w:rPr>
            </w:pPr>
            <w:r>
              <w:rPr>
                <w:b/>
              </w:rPr>
              <w:t>53,070</w:t>
            </w:r>
          </w:p>
        </w:tc>
        <w:tc>
          <w:tcPr>
            <w:tcW w:w="104"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lineRule="auto" w:line="300" w:before="0" w:after="0"/>
              <w:jc w:val="right"/>
              <w:rPr>
                <w:b/>
              </w:rPr>
            </w:pPr>
            <w:r>
              <w:rPr>
                <w:b/>
              </w:rPr>
              <w:t>(17</w:t>
            </w:r>
          </w:p>
        </w:tc>
        <w:tc>
          <w:tcPr>
            <w:tcW w:w="360" w:type="dxa"/>
            <w:tcBorders/>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Reconciliation of Revenue to Contribution ex-TAC</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4" w:name="z3673ef78df834a279655d0e913c6af87"/>
      <w:bookmarkStart w:id="95" w:name="z3673ef78df834a279655d0e913c6af87"/>
      <w:bookmarkEnd w:id="95"/>
    </w:p>
    <w:tbl>
      <w:tblPr>
        <w:tblW w:w="10205" w:type="dxa"/>
        <w:jc w:val="left"/>
        <w:tblInd w:w="0" w:type="dxa"/>
        <w:tblLayout w:type="fixed"/>
        <w:tblCellMar>
          <w:top w:w="0" w:type="dxa"/>
          <w:left w:w="0" w:type="dxa"/>
          <w:bottom w:w="0" w:type="dxa"/>
          <w:right w:w="0" w:type="dxa"/>
        </w:tblCellMar>
      </w:tblPr>
      <w:tblGrid>
        <w:gridCol w:w="4238"/>
        <w:gridCol w:w="60"/>
        <w:gridCol w:w="71"/>
        <w:gridCol w:w="954"/>
        <w:gridCol w:w="112"/>
        <w:gridCol w:w="71"/>
        <w:gridCol w:w="71"/>
        <w:gridCol w:w="900"/>
        <w:gridCol w:w="112"/>
        <w:gridCol w:w="71"/>
        <w:gridCol w:w="71"/>
        <w:gridCol w:w="309"/>
        <w:gridCol w:w="260"/>
        <w:gridCol w:w="60"/>
        <w:gridCol w:w="65"/>
        <w:gridCol w:w="873"/>
        <w:gridCol w:w="103"/>
        <w:gridCol w:w="65"/>
        <w:gridCol w:w="65"/>
        <w:gridCol w:w="873"/>
        <w:gridCol w:w="103"/>
        <w:gridCol w:w="65"/>
        <w:gridCol w:w="65"/>
        <w:gridCol w:w="283"/>
        <w:gridCol w:w="285"/>
      </w:tblGrid>
      <w:tr>
        <w:trPr/>
        <w:tc>
          <w:tcPr>
            <w:tcW w:w="4238"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742"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 June 30</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60"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 June 30</w:t>
            </w:r>
          </w:p>
        </w:tc>
        <w:tc>
          <w:tcPr>
            <w:tcW w:w="285" w:type="dxa"/>
            <w:tcBorders/>
            <w:vAlign w:val="bottom"/>
          </w:tcPr>
          <w:p>
            <w:pPr>
              <w:pStyle w:val="TableContents"/>
              <w:bidi w:val="0"/>
              <w:spacing w:before="0" w:after="283"/>
              <w:jc w:val="left"/>
              <w:rPr/>
            </w:pPr>
            <w:r>
              <w:rPr/>
              <w:t> </w:t>
            </w:r>
          </w:p>
        </w:tc>
      </w:tr>
      <w:tr>
        <w:trPr/>
        <w:tc>
          <w:tcPr>
            <w:tcW w:w="4238"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7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8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3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48"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285" w:type="dxa"/>
            <w:tcBorders/>
            <w:vAlign w:val="bottom"/>
          </w:tcPr>
          <w:p>
            <w:pPr>
              <w:pStyle w:val="TableContents"/>
              <w:bidi w:val="0"/>
              <w:spacing w:before="0" w:after="283"/>
              <w:jc w:val="left"/>
              <w:rPr/>
            </w:pPr>
            <w:r>
              <w:rPr/>
              <w:t> </w:t>
            </w:r>
          </w:p>
        </w:tc>
      </w:tr>
      <w:tr>
        <w:trPr/>
        <w:tc>
          <w:tcPr>
            <w:tcW w:w="4238" w:type="dxa"/>
            <w:tcBorders/>
            <w:shd w:fill="CCEEFF" w:val="clear"/>
            <w:vAlign w:val="bottom"/>
          </w:tcPr>
          <w:p>
            <w:pPr>
              <w:pStyle w:val="TableContents"/>
              <w:bidi w:val="0"/>
              <w:spacing w:lineRule="auto" w:line="300" w:before="0" w:after="0"/>
              <w:jc w:val="left"/>
              <w:rPr>
                <w:b/>
              </w:rPr>
            </w:pPr>
            <w:r>
              <w:rPr>
                <w:b/>
              </w:rPr>
              <w:t>($ in thousands)</w:t>
            </w:r>
          </w:p>
        </w:tc>
        <w:tc>
          <w:tcPr>
            <w:tcW w:w="60" w:type="dxa"/>
            <w:tcBorders/>
            <w:shd w:fill="CCEEFF" w:val="clear"/>
            <w:vAlign w:val="bottom"/>
          </w:tcPr>
          <w:p>
            <w:pPr>
              <w:pStyle w:val="TableContents"/>
              <w:bidi w:val="0"/>
              <w:spacing w:before="0" w:after="283"/>
              <w:jc w:val="left"/>
              <w:rPr/>
            </w:pPr>
            <w:r>
              <w:rPr/>
              <w:t> </w:t>
            </w:r>
          </w:p>
        </w:tc>
        <w:tc>
          <w:tcPr>
            <w:tcW w:w="2179" w:type="dxa"/>
            <w:gridSpan w:val="6"/>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8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8" w:type="dxa"/>
            <w:gridSpan w:val="2"/>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938" w:type="dxa"/>
            <w:gridSpan w:val="2"/>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348" w:type="dxa"/>
            <w:gridSpan w:val="2"/>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4238" w:type="dxa"/>
            <w:tcBorders/>
            <w:vAlign w:val="bottom"/>
          </w:tcPr>
          <w:p>
            <w:pPr>
              <w:pStyle w:val="TableContents"/>
              <w:bidi w:val="0"/>
              <w:spacing w:lineRule="auto" w:line="300" w:before="0" w:after="0"/>
              <w:ind w:left="240" w:right="0" w:hanging="240"/>
              <w:jc w:val="left"/>
              <w:rPr>
                <w:b/>
              </w:rPr>
            </w:pPr>
            <w:r>
              <w:rPr>
                <w:b/>
              </w:rPr>
              <w:t>Revenue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lineRule="auto" w:line="300" w:before="0" w:after="0"/>
              <w:jc w:val="right"/>
              <w:rPr>
                <w:b/>
              </w:rPr>
            </w:pPr>
            <w:r>
              <w:rPr>
                <w:b/>
              </w:rPr>
              <w:t>100,518</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b/>
              </w:rPr>
            </w:pPr>
            <w:r>
              <w:rPr>
                <w:b/>
              </w:rPr>
              <w:t>90,948</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lineRule="auto" w:line="300" w:before="0" w:after="0"/>
              <w:jc w:val="right"/>
              <w:rPr>
                <w:b/>
              </w:rPr>
            </w:pPr>
            <w:r>
              <w:rPr>
                <w:b/>
              </w:rPr>
              <w:t>11</w:t>
            </w:r>
          </w:p>
        </w:tc>
        <w:tc>
          <w:tcPr>
            <w:tcW w:w="260"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b/>
              </w:rPr>
            </w:pPr>
            <w:r>
              <w:rPr>
                <w:b/>
              </w:rPr>
              <w:t>187,360</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b/>
              </w:rPr>
            </w:pPr>
            <w:r>
              <w:rPr>
                <w:b/>
              </w:rPr>
              <w:t>169,278</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lineRule="auto" w:line="300" w:before="0" w:after="0"/>
              <w:jc w:val="right"/>
              <w:rPr>
                <w:b/>
              </w:rPr>
            </w:pPr>
            <w:r>
              <w:rPr>
                <w:b/>
              </w:rPr>
              <w:t>11</w:t>
            </w:r>
          </w:p>
        </w:tc>
        <w:tc>
          <w:tcPr>
            <w:tcW w:w="285" w:type="dxa"/>
            <w:tcBorders/>
            <w:vAlign w:val="bottom"/>
          </w:tcPr>
          <w:p>
            <w:pPr>
              <w:pStyle w:val="TableContents"/>
              <w:bidi w:val="0"/>
              <w:spacing w:lineRule="auto" w:line="300" w:before="0" w:after="0"/>
              <w:jc w:val="left"/>
              <w:rPr>
                <w:b/>
              </w:rPr>
            </w:pPr>
            <w:r>
              <w:rPr>
                <w:b/>
              </w:rPr>
              <w:t>%</w:t>
            </w:r>
          </w:p>
        </w:tc>
      </w:tr>
      <w:tr>
        <w:trPr/>
        <w:tc>
          <w:tcPr>
            <w:tcW w:w="4238" w:type="dxa"/>
            <w:tcBorders/>
            <w:shd w:fill="CCEEFF" w:val="clear"/>
            <w:vAlign w:val="bottom"/>
          </w:tcPr>
          <w:p>
            <w:pPr>
              <w:pStyle w:val="TableContents"/>
              <w:bidi w:val="0"/>
              <w:spacing w:lineRule="auto" w:line="300" w:before="0" w:after="0"/>
              <w:ind w:left="240" w:right="0" w:hanging="0"/>
              <w:jc w:val="left"/>
              <w:rPr/>
            </w:pPr>
            <w:r>
              <w:rPr/>
              <w:t>Cost of revenue (exclusive of depreciation and amortization)</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lineRule="auto" w:line="300" w:before="0" w:after="0"/>
              <w:jc w:val="right"/>
              <w:rPr/>
            </w:pPr>
            <w:r>
              <w:rPr/>
              <w:t>(18,793</w:t>
            </w:r>
          </w:p>
        </w:tc>
        <w:tc>
          <w:tcPr>
            <w:tcW w:w="112" w:type="dxa"/>
            <w:tcBorders/>
            <w:shd w:fill="CCEEFF" w:val="clear"/>
            <w:vAlign w:val="bottom"/>
          </w:tcPr>
          <w:p>
            <w:pPr>
              <w:pStyle w:val="TableContents"/>
              <w:bidi w:val="0"/>
              <w:spacing w:lineRule="auto" w:line="300"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(12,057</w:t>
            </w:r>
          </w:p>
        </w:tc>
        <w:tc>
          <w:tcPr>
            <w:tcW w:w="112" w:type="dxa"/>
            <w:tcBorders/>
            <w:shd w:fill="CCEEFF" w:val="clear"/>
            <w:vAlign w:val="bottom"/>
          </w:tcPr>
          <w:p>
            <w:pPr>
              <w:pStyle w:val="TableContents"/>
              <w:bidi w:val="0"/>
              <w:spacing w:lineRule="auto" w:line="300"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pPr>
            <w:r>
              <w:rPr/>
              <w:t>(35,226</w:t>
            </w:r>
          </w:p>
        </w:tc>
        <w:tc>
          <w:tcPr>
            <w:tcW w:w="103"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pPr>
            <w:r>
              <w:rPr/>
              <w:t>(23,256</w:t>
            </w:r>
          </w:p>
        </w:tc>
        <w:tc>
          <w:tcPr>
            <w:tcW w:w="103" w:type="dxa"/>
            <w:tcBorders/>
            <w:shd w:fill="CCEEFF" w:val="clear"/>
            <w:vAlign w:val="bottom"/>
          </w:tcPr>
          <w:p>
            <w:pPr>
              <w:pStyle w:val="TableContents"/>
              <w:bidi w:val="0"/>
              <w:spacing w:lineRule="auto" w:line="300"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4238" w:type="dxa"/>
            <w:tcBorders/>
            <w:vAlign w:val="bottom"/>
          </w:tcPr>
          <w:p>
            <w:pPr>
              <w:pStyle w:val="TableContents"/>
              <w:bidi w:val="0"/>
              <w:spacing w:lineRule="auto" w:line="300" w:before="0" w:after="0"/>
              <w:ind w:left="240" w:right="0" w:hanging="0"/>
              <w:jc w:val="left"/>
              <w:rPr/>
            </w:pPr>
            <w:r>
              <w:rPr/>
              <w:t>Depreciation and amortization attributable to cost of revenue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lineRule="auto" w:line="300" w:before="0" w:after="0"/>
              <w:jc w:val="right"/>
              <w:rPr/>
            </w:pPr>
            <w:r>
              <w:rPr/>
              <w:t>(14,638</w:t>
            </w:r>
          </w:p>
        </w:tc>
        <w:tc>
          <w:tcPr>
            <w:tcW w:w="112" w:type="dxa"/>
            <w:tcBorders/>
            <w:vAlign w:val="bottom"/>
          </w:tcPr>
          <w:p>
            <w:pPr>
              <w:pStyle w:val="TableContents"/>
              <w:bidi w:val="0"/>
              <w:spacing w:lineRule="auto" w:line="300" w:before="0" w:after="0"/>
              <w:jc w:val="lef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(12,531</w:t>
            </w:r>
          </w:p>
        </w:tc>
        <w:tc>
          <w:tcPr>
            <w:tcW w:w="112" w:type="dxa"/>
            <w:tcBorders/>
            <w:vAlign w:val="bottom"/>
          </w:tcPr>
          <w:p>
            <w:pPr>
              <w:pStyle w:val="TableContents"/>
              <w:bidi w:val="0"/>
              <w:spacing w:lineRule="auto" w:line="300" w:before="0" w:after="0"/>
              <w:jc w:val="lef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pPr>
            <w:r>
              <w:rPr/>
              <w:t>(27,932</w:t>
            </w:r>
          </w:p>
        </w:tc>
        <w:tc>
          <w:tcPr>
            <w:tcW w:w="103" w:type="dxa"/>
            <w:tcBorders/>
            <w:vAlign w:val="bottom"/>
          </w:tcPr>
          <w:p>
            <w:pPr>
              <w:pStyle w:val="TableContents"/>
              <w:bidi w:val="0"/>
              <w:spacing w:lineRule="auto" w:line="300" w:before="0" w:after="0"/>
              <w:jc w:val="left"/>
              <w:rPr/>
            </w:pPr>
            <w:r>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pPr>
            <w:r>
              <w:rPr/>
              <w:t>(24,825</w:t>
            </w:r>
          </w:p>
        </w:tc>
        <w:tc>
          <w:tcPr>
            <w:tcW w:w="103" w:type="dxa"/>
            <w:tcBorders/>
            <w:vAlign w:val="bottom"/>
          </w:tcPr>
          <w:p>
            <w:pPr>
              <w:pStyle w:val="TableContents"/>
              <w:bidi w:val="0"/>
              <w:spacing w:lineRule="auto" w:line="300" w:before="0" w:after="0"/>
              <w:jc w:val="left"/>
              <w:rPr/>
            </w:pPr>
            <w:r>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4238" w:type="dxa"/>
            <w:tcBorders/>
            <w:shd w:fill="CCEEFF" w:val="clear"/>
            <w:vAlign w:val="bottom"/>
          </w:tcPr>
          <w:p>
            <w:pPr>
              <w:pStyle w:val="TableContents"/>
              <w:bidi w:val="0"/>
              <w:spacing w:lineRule="auto" w:line="300" w:before="0" w:after="0"/>
              <w:ind w:left="240" w:right="0" w:hanging="240"/>
              <w:jc w:val="left"/>
              <w:rPr>
                <w:b/>
              </w:rPr>
            </w:pPr>
            <w:r>
              <w:rPr>
                <w:b/>
              </w:rPr>
              <w:t>Gross profit (IFRS)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lineRule="auto" w:line="300" w:before="0" w:after="0"/>
              <w:jc w:val="right"/>
              <w:rPr>
                <w:b/>
              </w:rPr>
            </w:pPr>
            <w:r>
              <w:rPr>
                <w:b/>
              </w:rPr>
              <w:t>67,087</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b/>
              </w:rPr>
            </w:pPr>
            <w:r>
              <w:rPr>
                <w:b/>
              </w:rPr>
              <w:t>66,360</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lineRule="auto" w:line="300" w:before="0" w:after="0"/>
              <w:jc w:val="right"/>
              <w:rPr>
                <w:b/>
              </w:rPr>
            </w:pPr>
            <w:r>
              <w:rPr>
                <w:b/>
              </w:rPr>
              <w:t>1</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b/>
              </w:rPr>
            </w:pPr>
            <w:r>
              <w:rPr>
                <w:b/>
              </w:rPr>
              <w:t>124,202</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b/>
              </w:rPr>
            </w:pPr>
            <w:r>
              <w:rPr>
                <w:b/>
              </w:rPr>
              <w:t>121,197</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lineRule="auto" w:line="300" w:before="0" w:after="0"/>
              <w:jc w:val="right"/>
              <w:rPr>
                <w:b/>
              </w:rPr>
            </w:pPr>
            <w:r>
              <w:rPr>
                <w:b/>
              </w:rPr>
              <w:t>2</w:t>
            </w:r>
          </w:p>
        </w:tc>
        <w:tc>
          <w:tcPr>
            <w:tcW w:w="285" w:type="dxa"/>
            <w:tcBorders/>
            <w:shd w:fill="CCEEFF" w:val="clear"/>
            <w:vAlign w:val="bottom"/>
          </w:tcPr>
          <w:p>
            <w:pPr>
              <w:pStyle w:val="TableContents"/>
              <w:bidi w:val="0"/>
              <w:spacing w:lineRule="auto" w:line="300" w:before="0" w:after="0"/>
              <w:jc w:val="left"/>
              <w:rPr>
                <w:b/>
              </w:rPr>
            </w:pPr>
            <w:r>
              <w:rPr>
                <w:b/>
              </w:rPr>
              <w:t>%</w:t>
            </w:r>
          </w:p>
        </w:tc>
      </w:tr>
      <w:tr>
        <w:trPr/>
        <w:tc>
          <w:tcPr>
            <w:tcW w:w="4238" w:type="dxa"/>
            <w:tcBorders/>
            <w:vAlign w:val="bottom"/>
          </w:tcPr>
          <w:p>
            <w:pPr>
              <w:pStyle w:val="TableContents"/>
              <w:bidi w:val="0"/>
              <w:spacing w:lineRule="auto" w:line="300" w:before="0" w:after="0"/>
              <w:ind w:left="240" w:right="0" w:hanging="0"/>
              <w:jc w:val="left"/>
              <w:rPr/>
            </w:pPr>
            <w:r>
              <w:rPr/>
              <w:t>Depreciation and amortization attributable to cost of revenue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lineRule="auto" w:line="300" w:before="0" w:after="0"/>
              <w:jc w:val="right"/>
              <w:rPr/>
            </w:pPr>
            <w:r>
              <w:rPr/>
              <w:t>14,638</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12,531</w:t>
            </w:r>
          </w:p>
        </w:tc>
        <w:tc>
          <w:tcPr>
            <w:tcW w:w="112"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pPr>
            <w:r>
              <w:rPr/>
              <w:t>27,932</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pPr>
            <w:r>
              <w:rPr/>
              <w:t>24,825</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4238" w:type="dxa"/>
            <w:tcBorders/>
            <w:shd w:fill="CCEEFF" w:val="clear"/>
            <w:vAlign w:val="bottom"/>
          </w:tcPr>
          <w:p>
            <w:pPr>
              <w:pStyle w:val="TableContents"/>
              <w:bidi w:val="0"/>
              <w:spacing w:lineRule="auto" w:line="300" w:before="0" w:after="0"/>
              <w:ind w:left="240" w:right="0" w:hanging="0"/>
              <w:jc w:val="left"/>
              <w:rPr/>
            </w:pPr>
            <w:r>
              <w:rPr/>
              <w:t>Cost of revenue (exclusive of depreciation and amortization)</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lineRule="auto" w:line="300" w:before="0" w:after="0"/>
              <w:jc w:val="right"/>
              <w:rPr/>
            </w:pPr>
            <w:r>
              <w:rPr/>
              <w:t>18,793</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pPr>
            <w:r>
              <w:rPr/>
              <w:t>12,057</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pPr>
            <w:r>
              <w:rPr/>
              <w:t>35,226</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pPr>
            <w:r>
              <w:rPr/>
              <w:t>23,256</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r>
      <w:tr>
        <w:trPr/>
        <w:tc>
          <w:tcPr>
            <w:tcW w:w="4238" w:type="dxa"/>
            <w:tcBorders/>
            <w:vAlign w:val="bottom"/>
          </w:tcPr>
          <w:p>
            <w:pPr>
              <w:pStyle w:val="TableContents"/>
              <w:bidi w:val="0"/>
              <w:spacing w:lineRule="auto" w:line="300" w:before="0" w:after="0"/>
              <w:ind w:left="240" w:right="0" w:hanging="0"/>
              <w:jc w:val="left"/>
              <w:rPr/>
            </w:pPr>
            <w:r>
              <w:rPr/>
              <w:t>Performance media cost</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54" w:type="dxa"/>
            <w:tcBorders/>
            <w:vAlign w:val="bottom"/>
          </w:tcPr>
          <w:p>
            <w:pPr>
              <w:pStyle w:val="TableContents"/>
              <w:bidi w:val="0"/>
              <w:spacing w:lineRule="auto" w:line="300" w:before="0" w:after="0"/>
              <w:jc w:val="right"/>
              <w:rPr/>
            </w:pPr>
            <w:r>
              <w:rPr/>
              <w:t>(2,693</w:t>
            </w:r>
          </w:p>
        </w:tc>
        <w:tc>
          <w:tcPr>
            <w:tcW w:w="112" w:type="dxa"/>
            <w:tcBorders/>
            <w:vAlign w:val="bottom"/>
          </w:tcPr>
          <w:p>
            <w:pPr>
              <w:pStyle w:val="TableContents"/>
              <w:bidi w:val="0"/>
              <w:spacing w:lineRule="auto" w:line="300" w:before="0" w:after="0"/>
              <w:jc w:val="lef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lineRule="auto" w:line="300" w:before="0" w:after="0"/>
              <w:jc w:val="right"/>
              <w:rPr/>
            </w:pPr>
            <w:r>
              <w:rPr/>
              <w:t>(3,141</w:t>
            </w:r>
          </w:p>
        </w:tc>
        <w:tc>
          <w:tcPr>
            <w:tcW w:w="112" w:type="dxa"/>
            <w:tcBorders/>
            <w:vAlign w:val="bottom"/>
          </w:tcPr>
          <w:p>
            <w:pPr>
              <w:pStyle w:val="TableContents"/>
              <w:bidi w:val="0"/>
              <w:spacing w:lineRule="auto" w:line="300" w:before="0" w:after="0"/>
              <w:jc w:val="left"/>
              <w:rPr/>
            </w:pPr>
            <w:r>
              <w:rPr/>
              <w:t>)</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pPr>
            <w:r>
              <w:rPr/>
              <w:t>(4,997</w:t>
            </w:r>
          </w:p>
        </w:tc>
        <w:tc>
          <w:tcPr>
            <w:tcW w:w="103" w:type="dxa"/>
            <w:tcBorders/>
            <w:vAlign w:val="bottom"/>
          </w:tcPr>
          <w:p>
            <w:pPr>
              <w:pStyle w:val="TableContents"/>
              <w:bidi w:val="0"/>
              <w:spacing w:lineRule="auto" w:line="300" w:before="0" w:after="0"/>
              <w:jc w:val="left"/>
              <w:rPr/>
            </w:pPr>
            <w:r>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lineRule="auto" w:line="300" w:before="0" w:after="0"/>
              <w:jc w:val="right"/>
              <w:rPr/>
            </w:pPr>
            <w:r>
              <w:rPr/>
              <w:t>(6,483</w:t>
            </w:r>
          </w:p>
        </w:tc>
        <w:tc>
          <w:tcPr>
            <w:tcW w:w="103" w:type="dxa"/>
            <w:tcBorders/>
            <w:vAlign w:val="bottom"/>
          </w:tcPr>
          <w:p>
            <w:pPr>
              <w:pStyle w:val="TableContents"/>
              <w:bidi w:val="0"/>
              <w:spacing w:lineRule="auto" w:line="300" w:before="0" w:after="0"/>
              <w:jc w:val="left"/>
              <w:rPr/>
            </w:pPr>
            <w:r>
              <w:rPr/>
              <w:t>)</w:t>
            </w:r>
          </w:p>
        </w:tc>
        <w:tc>
          <w:tcPr>
            <w:tcW w:w="6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right"/>
              <w:rPr/>
            </w:pPr>
            <w:r>
              <w:rPr/>
              <w:t> </w:t>
            </w:r>
          </w:p>
        </w:tc>
        <w:tc>
          <w:tcPr>
            <w:tcW w:w="285" w:type="dxa"/>
            <w:tcBorders/>
            <w:vAlign w:val="bottom"/>
          </w:tcPr>
          <w:p>
            <w:pPr>
              <w:pStyle w:val="TableContents"/>
              <w:bidi w:val="0"/>
              <w:spacing w:before="0" w:after="283"/>
              <w:jc w:val="left"/>
              <w:rPr/>
            </w:pPr>
            <w:r>
              <w:rPr/>
              <w:t> </w:t>
            </w:r>
          </w:p>
        </w:tc>
      </w:tr>
      <w:tr>
        <w:trPr/>
        <w:tc>
          <w:tcPr>
            <w:tcW w:w="4238" w:type="dxa"/>
            <w:tcBorders/>
            <w:shd w:fill="CCEEFF" w:val="clear"/>
            <w:vAlign w:val="bottom"/>
          </w:tcPr>
          <w:p>
            <w:pPr>
              <w:pStyle w:val="TableContents"/>
              <w:bidi w:val="0"/>
              <w:spacing w:lineRule="auto" w:line="300" w:before="0" w:after="0"/>
              <w:ind w:left="447" w:right="0" w:hanging="447"/>
              <w:jc w:val="left"/>
              <w:rPr>
                <w:b/>
              </w:rPr>
            </w:pPr>
            <w:r>
              <w:rPr>
                <w:b/>
              </w:rPr>
              <w:t>Contribution ex-TAC (Non-IFRS)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lineRule="auto" w:line="300" w:before="0" w:after="0"/>
              <w:jc w:val="right"/>
              <w:rPr>
                <w:b/>
              </w:rPr>
            </w:pPr>
            <w:r>
              <w:rPr>
                <w:b/>
              </w:rPr>
              <w:t>97,825</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lineRule="auto" w:line="300" w:before="0" w:after="0"/>
              <w:jc w:val="right"/>
              <w:rPr>
                <w:b/>
              </w:rPr>
            </w:pPr>
            <w:r>
              <w:rPr>
                <w:b/>
              </w:rPr>
              <w:t>87,807</w:t>
            </w:r>
          </w:p>
        </w:tc>
        <w:tc>
          <w:tcPr>
            <w:tcW w:w="112"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lineRule="auto" w:line="300" w:before="0" w:after="0"/>
              <w:jc w:val="right"/>
              <w:rPr>
                <w:b/>
              </w:rPr>
            </w:pPr>
            <w:r>
              <w:rPr>
                <w:b/>
              </w:rPr>
              <w:t>11</w:t>
            </w:r>
          </w:p>
        </w:tc>
        <w:tc>
          <w:tcPr>
            <w:tcW w:w="260" w:type="dxa"/>
            <w:tcBorders/>
            <w:shd w:fill="CCEEFF" w:val="clear"/>
            <w:vAlign w:val="bottom"/>
          </w:tcPr>
          <w:p>
            <w:pPr>
              <w:pStyle w:val="TableContents"/>
              <w:bidi w:val="0"/>
              <w:spacing w:lineRule="auto" w:line="300"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b/>
              </w:rPr>
            </w:pPr>
            <w:r>
              <w:rPr>
                <w:b/>
              </w:rPr>
              <w:t>182,363</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lineRule="auto" w:line="300" w:before="0" w:after="0"/>
              <w:jc w:val="right"/>
              <w:rPr>
                <w:b/>
              </w:rPr>
            </w:pPr>
            <w:r>
              <w:rPr>
                <w:b/>
              </w:rPr>
              <w:t>162,795</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lineRule="auto" w:line="300" w:before="0" w:after="0"/>
              <w:jc w:val="right"/>
              <w:rPr>
                <w:b/>
              </w:rPr>
            </w:pPr>
            <w:r>
              <w:rPr>
                <w:b/>
              </w:rPr>
              <w:t>12</w:t>
            </w:r>
          </w:p>
        </w:tc>
        <w:tc>
          <w:tcPr>
            <w:tcW w:w="285" w:type="dxa"/>
            <w:tcBorders/>
            <w:shd w:fill="CCEEFF" w:val="clear"/>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Reconciliation of Net Income (Loss) to Non-IFRS Net Income</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6" w:name="z901d791fe2d14cb6bfff1d661a91ba6d"/>
      <w:bookmarkStart w:id="97" w:name="z901d791fe2d14cb6bfff1d661a91ba6d"/>
      <w:bookmarkEnd w:id="97"/>
    </w:p>
    <w:tbl>
      <w:tblPr>
        <w:tblW w:w="10205" w:type="dxa"/>
        <w:jc w:val="left"/>
        <w:tblInd w:w="0" w:type="dxa"/>
        <w:tblLayout w:type="fixed"/>
        <w:tblCellMar>
          <w:top w:w="0" w:type="dxa"/>
          <w:left w:w="0" w:type="dxa"/>
          <w:bottom w:w="0" w:type="dxa"/>
          <w:right w:w="0" w:type="dxa"/>
        </w:tblCellMar>
      </w:tblPr>
      <w:tblGrid>
        <w:gridCol w:w="3986"/>
        <w:gridCol w:w="60"/>
        <w:gridCol w:w="71"/>
        <w:gridCol w:w="818"/>
        <w:gridCol w:w="114"/>
        <w:gridCol w:w="71"/>
        <w:gridCol w:w="71"/>
        <w:gridCol w:w="818"/>
        <w:gridCol w:w="114"/>
        <w:gridCol w:w="71"/>
        <w:gridCol w:w="71"/>
        <w:gridCol w:w="403"/>
        <w:gridCol w:w="335"/>
        <w:gridCol w:w="60"/>
        <w:gridCol w:w="72"/>
        <w:gridCol w:w="821"/>
        <w:gridCol w:w="114"/>
        <w:gridCol w:w="72"/>
        <w:gridCol w:w="72"/>
        <w:gridCol w:w="821"/>
        <w:gridCol w:w="114"/>
        <w:gridCol w:w="72"/>
        <w:gridCol w:w="72"/>
        <w:gridCol w:w="549"/>
        <w:gridCol w:w="363"/>
      </w:tblGrid>
      <w:tr>
        <w:trPr/>
        <w:tc>
          <w:tcPr>
            <w:tcW w:w="3986"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2622" w:type="dxa"/>
            <w:gridSpan w:val="10"/>
            <w:tcBorders>
              <w:bottom w:val="single" w:sz="12" w:space="0" w:color="000000"/>
            </w:tcBorders>
            <w:tcMar>
              <w:bottom w:w="28" w:type="dxa"/>
            </w:tcMar>
            <w:vAlign w:val="bottom"/>
          </w:tcPr>
          <w:p>
            <w:pPr>
              <w:pStyle w:val="TableContents"/>
              <w:bidi w:val="0"/>
              <w:spacing w:lineRule="auto" w:line="300" w:before="0" w:after="0"/>
              <w:jc w:val="center"/>
              <w:rPr>
                <w:b/>
              </w:rPr>
            </w:pPr>
            <w:r>
              <w:rPr>
                <w:b/>
              </w:rPr>
              <w:t>Three months ended June 30</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779" w:type="dxa"/>
            <w:gridSpan w:val="10"/>
            <w:tcBorders>
              <w:bottom w:val="single" w:sz="12" w:space="0" w:color="000000"/>
            </w:tcBorders>
            <w:tcMar>
              <w:bottom w:w="28" w:type="dxa"/>
            </w:tcMar>
            <w:vAlign w:val="bottom"/>
          </w:tcPr>
          <w:p>
            <w:pPr>
              <w:pStyle w:val="TableContents"/>
              <w:bidi w:val="0"/>
              <w:spacing w:before="0" w:after="283"/>
              <w:jc w:val="center"/>
              <w:rPr/>
            </w:pPr>
            <w:r>
              <w:rPr/>
              <w:t> </w:t>
            </w:r>
            <w:r>
              <w:rPr>
                <w:b/>
              </w:rPr>
              <w:t>Six months ended June 30       </w:t>
            </w:r>
          </w:p>
        </w:tc>
        <w:tc>
          <w:tcPr>
            <w:tcW w:w="363" w:type="dxa"/>
            <w:tcBorders/>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300" w:before="0" w:after="0"/>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93"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21"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w:t>
            </w:r>
          </w:p>
        </w:tc>
        <w:tc>
          <w:tcPr>
            <w:tcW w:w="363" w:type="dxa"/>
            <w:tcBorders/>
            <w:vAlign w:val="bottom"/>
          </w:tcPr>
          <w:p>
            <w:pPr>
              <w:pStyle w:val="TableContents"/>
              <w:bidi w:val="0"/>
              <w:spacing w:before="0" w:after="283"/>
              <w:jc w:val="left"/>
              <w:rPr/>
            </w:pPr>
            <w:r>
              <w:rPr/>
              <w:t> </w:t>
            </w:r>
          </w:p>
        </w:tc>
      </w:tr>
      <w:tr>
        <w:trPr/>
        <w:tc>
          <w:tcPr>
            <w:tcW w:w="3986" w:type="dxa"/>
            <w:tcBorders/>
            <w:shd w:fill="CCEEFF" w:val="clear"/>
            <w:vAlign w:val="bottom"/>
          </w:tcPr>
          <w:p>
            <w:pPr>
              <w:pStyle w:val="TableContents"/>
              <w:bidi w:val="0"/>
              <w:spacing w:lineRule="auto" w:line="300" w:before="0" w:after="0"/>
              <w:jc w:val="left"/>
              <w:rPr>
                <w:b/>
              </w:rPr>
            </w:pPr>
            <w:r>
              <w:rPr>
                <w:b/>
              </w:rPr>
              <w:t>($ in thousands)</w:t>
            </w:r>
          </w:p>
        </w:tc>
        <w:tc>
          <w:tcPr>
            <w:tcW w:w="60" w:type="dxa"/>
            <w:tcBorders/>
            <w:shd w:fill="CCEEFF" w:val="clear"/>
            <w:vAlign w:val="bottom"/>
          </w:tcPr>
          <w:p>
            <w:pPr>
              <w:pStyle w:val="TableContents"/>
              <w:bidi w:val="0"/>
              <w:spacing w:before="0" w:after="283"/>
              <w:jc w:val="left"/>
              <w:rPr/>
            </w:pPr>
            <w:r>
              <w:rPr/>
              <w:t> </w:t>
            </w:r>
          </w:p>
        </w:tc>
        <w:tc>
          <w:tcPr>
            <w:tcW w:w="1963" w:type="dxa"/>
            <w:gridSpan w:val="6"/>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74" w:type="dxa"/>
            <w:gridSpan w:val="2"/>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3" w:type="dxa"/>
            <w:gridSpan w:val="2"/>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93" w:type="dxa"/>
            <w:gridSpan w:val="2"/>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21" w:type="dxa"/>
            <w:gridSpan w:val="2"/>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300" w:before="0" w:after="0"/>
              <w:ind w:left="240" w:right="0" w:hanging="240"/>
              <w:jc w:val="left"/>
              <w:rPr>
                <w:b/>
              </w:rPr>
            </w:pPr>
            <w:r>
              <w:rPr>
                <w:b/>
              </w:rPr>
              <w:t>Net income (loss)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b/>
              </w:rPr>
            </w:pPr>
            <w:r>
              <w:rPr>
                <w:b/>
              </w:rPr>
              <w:t>3,640</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b/>
              </w:rPr>
            </w:pPr>
            <w:r>
              <w:rPr>
                <w:b/>
              </w:rPr>
              <w:t>8,666</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lineRule="auto" w:line="300" w:before="0" w:after="0"/>
              <w:jc w:val="right"/>
              <w:rPr>
                <w:b/>
              </w:rPr>
            </w:pPr>
            <w:r>
              <w:rPr>
                <w:b/>
              </w:rPr>
              <w:t>(58</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b/>
              </w:rPr>
            </w:pPr>
            <w:r>
              <w:rPr>
                <w:b/>
              </w:rPr>
              <w:t>(1,675</w:t>
            </w:r>
          </w:p>
        </w:tc>
        <w:tc>
          <w:tcPr>
            <w:tcW w:w="114" w:type="dxa"/>
            <w:tcBorders/>
            <w:vAlign w:val="bottom"/>
          </w:tcPr>
          <w:p>
            <w:pPr>
              <w:pStyle w:val="TableContents"/>
              <w:bidi w:val="0"/>
              <w:spacing w:lineRule="auto" w:line="300" w:before="0" w:after="0"/>
              <w:jc w:val="left"/>
              <w:rPr>
                <w:b/>
              </w:rPr>
            </w:pPr>
            <w:r>
              <w:rPr>
                <w:b/>
              </w:rPr>
              <w:t>)</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b/>
              </w:rPr>
            </w:pPr>
            <w:r>
              <w:rPr>
                <w:b/>
              </w:rPr>
              <w:t>10,299</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lineRule="auto" w:line="300" w:before="0" w:after="0"/>
              <w:jc w:val="right"/>
              <w:rPr>
                <w:b/>
              </w:rPr>
            </w:pPr>
            <w:r>
              <w:rPr>
                <w:b/>
              </w:rPr>
              <w:t>(116</w:t>
            </w:r>
          </w:p>
        </w:tc>
        <w:tc>
          <w:tcPr>
            <w:tcW w:w="363" w:type="dxa"/>
            <w:tcBorders/>
            <w:vAlign w:val="bottom"/>
          </w:tcPr>
          <w:p>
            <w:pPr>
              <w:pStyle w:val="TableContents"/>
              <w:bidi w:val="0"/>
              <w:spacing w:lineRule="auto" w:line="300" w:before="0" w:after="0"/>
              <w:jc w:val="left"/>
              <w:rPr>
                <w:b/>
              </w:rPr>
            </w:pPr>
            <w:r>
              <w:rPr>
                <w:b/>
              </w:rPr>
              <w:t>%)</w:t>
            </w:r>
          </w:p>
        </w:tc>
      </w:tr>
      <w:tr>
        <w:trPr/>
        <w:tc>
          <w:tcPr>
            <w:tcW w:w="3986" w:type="dxa"/>
            <w:tcBorders/>
            <w:shd w:fill="CCEEFF" w:val="clear"/>
            <w:vAlign w:val="bottom"/>
          </w:tcPr>
          <w:p>
            <w:pPr>
              <w:pStyle w:val="TableContents"/>
              <w:bidi w:val="0"/>
              <w:spacing w:lineRule="auto" w:line="300" w:before="0" w:after="0"/>
              <w:ind w:left="306" w:right="0" w:firstLine="7"/>
              <w:jc w:val="left"/>
              <w:rPr/>
            </w:pPr>
            <w:r>
              <w:rPr/>
              <w:t>Amortization of acquired intangibles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lineRule="auto" w:line="300" w:before="0" w:after="0"/>
              <w:jc w:val="right"/>
              <w:rPr/>
            </w:pPr>
            <w:r>
              <w:rPr/>
              <w:t>5,890</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lineRule="auto" w:line="300" w:before="0" w:after="0"/>
              <w:jc w:val="right"/>
              <w:rPr/>
            </w:pPr>
            <w:r>
              <w:rPr/>
              <w:t>5,912</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lineRule="auto" w:line="300" w:before="0" w:after="0"/>
              <w:jc w:val="right"/>
              <w:rPr/>
            </w:pPr>
            <w:r>
              <w:rPr/>
              <w:t>11,767</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lineRule="auto" w:line="300" w:before="0" w:after="0"/>
              <w:jc w:val="right"/>
              <w:rPr/>
            </w:pPr>
            <w:r>
              <w:rPr/>
              <w:t>11,782</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300" w:before="0" w:after="0"/>
              <w:ind w:left="306" w:right="0" w:firstLine="7"/>
              <w:jc w:val="left"/>
              <w:rPr/>
            </w:pPr>
            <w:r>
              <w:rPr/>
              <w:t>Restructuring</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pPr>
            <w:r>
              <w:rPr/>
              <w:t>1,323</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pPr>
            <w:r>
              <w:rPr/>
              <w:t>-</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pPr>
            <w:r>
              <w:rPr/>
              <w:t>1,323</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pPr>
            <w:r>
              <w:rPr/>
              <w:t>-</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363" w:type="dxa"/>
            <w:tcBorders/>
            <w:vAlign w:val="bottom"/>
          </w:tcPr>
          <w:p>
            <w:pPr>
              <w:pStyle w:val="TableContents"/>
              <w:bidi w:val="0"/>
              <w:spacing w:before="0" w:after="283"/>
              <w:jc w:val="left"/>
              <w:rPr/>
            </w:pPr>
            <w:r>
              <w:rPr/>
              <w:t> </w:t>
            </w:r>
          </w:p>
        </w:tc>
      </w:tr>
      <w:tr>
        <w:trPr/>
        <w:tc>
          <w:tcPr>
            <w:tcW w:w="3986" w:type="dxa"/>
            <w:tcBorders/>
            <w:shd w:fill="CCEEFF" w:val="clear"/>
            <w:vAlign w:val="bottom"/>
          </w:tcPr>
          <w:p>
            <w:pPr>
              <w:pStyle w:val="TableContents"/>
              <w:bidi w:val="0"/>
              <w:spacing w:lineRule="auto" w:line="300" w:before="0" w:after="0"/>
              <w:ind w:left="306" w:right="0" w:firstLine="7"/>
              <w:jc w:val="left"/>
              <w:rPr/>
            </w:pPr>
            <w:r>
              <w:rPr/>
              <w:t>Delisting Costs</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lineRule="auto" w:line="300" w:before="0" w:after="0"/>
              <w:jc w:val="right"/>
              <w:rPr/>
            </w:pPr>
            <w:r>
              <w:rPr/>
              <w:t>-</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lineRule="auto" w:line="300" w:before="0" w:after="0"/>
              <w:jc w:val="right"/>
              <w:rPr/>
            </w:pPr>
            <w:r>
              <w:rPr/>
              <w:t>-</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lineRule="auto" w:line="300" w:before="0" w:after="0"/>
              <w:jc w:val="right"/>
              <w:rPr/>
            </w:pPr>
            <w:r>
              <w:rPr/>
              <w:t>-</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lineRule="auto" w:line="300" w:before="0" w:after="0"/>
              <w:jc w:val="right"/>
              <w:rPr/>
            </w:pPr>
            <w:r>
              <w:rPr/>
              <w:t>1,520</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300" w:before="0" w:after="0"/>
              <w:ind w:left="306" w:right="0" w:firstLine="7"/>
              <w:jc w:val="left"/>
              <w:rPr/>
            </w:pPr>
            <w:r>
              <w:rPr/>
              <w:t>Stock-based compensation expenses</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pPr>
            <w:r>
              <w:rPr/>
              <w:t>4,388</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pPr>
            <w:r>
              <w:rPr/>
              <w:t>5,709</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pPr>
            <w:r>
              <w:rPr/>
              <w:t>9,201</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pPr>
            <w:r>
              <w:rPr/>
              <w:t>8,609</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363" w:type="dxa"/>
            <w:tcBorders/>
            <w:vAlign w:val="bottom"/>
          </w:tcPr>
          <w:p>
            <w:pPr>
              <w:pStyle w:val="TableContents"/>
              <w:bidi w:val="0"/>
              <w:spacing w:before="0" w:after="283"/>
              <w:jc w:val="left"/>
              <w:rPr/>
            </w:pPr>
            <w:r>
              <w:rPr/>
              <w:t> </w:t>
            </w:r>
          </w:p>
        </w:tc>
      </w:tr>
      <w:tr>
        <w:trPr/>
        <w:tc>
          <w:tcPr>
            <w:tcW w:w="3986" w:type="dxa"/>
            <w:tcBorders/>
            <w:shd w:fill="CCEEFF" w:val="clear"/>
            <w:vAlign w:val="bottom"/>
          </w:tcPr>
          <w:p>
            <w:pPr>
              <w:pStyle w:val="TableContents"/>
              <w:bidi w:val="0"/>
              <w:spacing w:lineRule="auto" w:line="240" w:before="0" w:after="0"/>
              <w:ind w:left="306" w:right="0" w:firstLine="7"/>
              <w:jc w:val="left"/>
              <w:rPr/>
            </w:pPr>
            <w:r>
              <w:rPr/>
              <w:t>Tax effect of Non-IFRS adjustments (1)</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lineRule="auto" w:line="300" w:before="0" w:after="0"/>
              <w:jc w:val="right"/>
              <w:rPr/>
            </w:pPr>
            <w:r>
              <w:rPr/>
              <w:t>(1,910</w:t>
            </w:r>
          </w:p>
        </w:tc>
        <w:tc>
          <w:tcPr>
            <w:tcW w:w="114" w:type="dxa"/>
            <w:tcBorders/>
            <w:shd w:fill="CCEEFF" w:val="clear"/>
            <w:vAlign w:val="bottom"/>
          </w:tcPr>
          <w:p>
            <w:pPr>
              <w:pStyle w:val="TableContents"/>
              <w:bidi w:val="0"/>
              <w:spacing w:lineRule="auto" w:line="300"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lineRule="auto" w:line="300" w:before="0" w:after="0"/>
              <w:jc w:val="right"/>
              <w:rPr/>
            </w:pPr>
            <w:r>
              <w:rPr/>
              <w:t>(2,083</w:t>
            </w:r>
          </w:p>
        </w:tc>
        <w:tc>
          <w:tcPr>
            <w:tcW w:w="114" w:type="dxa"/>
            <w:tcBorders/>
            <w:shd w:fill="CCEEFF" w:val="clear"/>
            <w:vAlign w:val="bottom"/>
          </w:tcPr>
          <w:p>
            <w:pPr>
              <w:pStyle w:val="TableContents"/>
              <w:bidi w:val="0"/>
              <w:spacing w:lineRule="auto" w:line="300" w:before="0" w:after="0"/>
              <w:jc w:val="left"/>
              <w:rPr/>
            </w:pPr>
            <w:r>
              <w:rPr/>
              <w:t>)</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lineRule="auto" w:line="300" w:before="0" w:after="0"/>
              <w:jc w:val="right"/>
              <w:rPr/>
            </w:pPr>
            <w:r>
              <w:rPr/>
              <w:t>(3,816</w:t>
            </w:r>
          </w:p>
        </w:tc>
        <w:tc>
          <w:tcPr>
            <w:tcW w:w="114" w:type="dxa"/>
            <w:tcBorders/>
            <w:shd w:fill="CCEEFF" w:val="clear"/>
            <w:vAlign w:val="bottom"/>
          </w:tcPr>
          <w:p>
            <w:pPr>
              <w:pStyle w:val="TableContents"/>
              <w:bidi w:val="0"/>
              <w:spacing w:lineRule="auto" w:line="300" w:before="0" w:after="0"/>
              <w:jc w:val="left"/>
              <w:rPr/>
            </w:pPr>
            <w:r>
              <w:rPr/>
              <w:t>)</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lineRule="auto" w:line="300" w:before="0" w:after="0"/>
              <w:jc w:val="right"/>
              <w:rPr/>
            </w:pPr>
            <w:r>
              <w:rPr/>
              <w:t>(3,367</w:t>
            </w:r>
          </w:p>
        </w:tc>
        <w:tc>
          <w:tcPr>
            <w:tcW w:w="114" w:type="dxa"/>
            <w:tcBorders/>
            <w:shd w:fill="CCEEFF" w:val="clear"/>
            <w:vAlign w:val="bottom"/>
          </w:tcPr>
          <w:p>
            <w:pPr>
              <w:pStyle w:val="TableContents"/>
              <w:bidi w:val="0"/>
              <w:spacing w:lineRule="auto" w:line="300" w:before="0" w:after="0"/>
              <w:jc w:val="left"/>
              <w:rPr/>
            </w:pPr>
            <w:r>
              <w:rPr/>
              <w:t>)</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300" w:before="0" w:after="0"/>
              <w:ind w:left="447" w:right="0" w:hanging="447"/>
              <w:jc w:val="left"/>
              <w:rPr>
                <w:b/>
              </w:rPr>
            </w:pPr>
            <w:r>
              <w:rPr>
                <w:b/>
              </w:rPr>
              <w:t>Non-IFRS net income</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b/>
              </w:rPr>
            </w:pPr>
            <w:r>
              <w:rPr>
                <w:b/>
              </w:rPr>
              <w:t>13,331</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b/>
              </w:rPr>
            </w:pPr>
            <w:r>
              <w:rPr>
                <w:b/>
              </w:rPr>
              <w:t>18,204</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lineRule="auto" w:line="300" w:before="0" w:after="0"/>
              <w:jc w:val="right"/>
              <w:rPr>
                <w:b/>
              </w:rPr>
            </w:pPr>
            <w:r>
              <w:rPr>
                <w:b/>
              </w:rPr>
              <w:t>(27</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b/>
              </w:rPr>
            </w:pPr>
            <w:r>
              <w:rPr>
                <w:b/>
              </w:rPr>
              <w:t>16,800</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b/>
              </w:rPr>
            </w:pPr>
            <w:r>
              <w:rPr>
                <w:b/>
              </w:rPr>
              <w:t>28,843</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lineRule="auto" w:line="300" w:before="0" w:after="0"/>
              <w:jc w:val="right"/>
              <w:rPr>
                <w:b/>
              </w:rPr>
            </w:pPr>
            <w:r>
              <w:rPr>
                <w:b/>
              </w:rPr>
              <w:t>(42</w:t>
            </w:r>
          </w:p>
        </w:tc>
        <w:tc>
          <w:tcPr>
            <w:tcW w:w="363" w:type="dxa"/>
            <w:tcBorders/>
            <w:vAlign w:val="bottom"/>
          </w:tcPr>
          <w:p>
            <w:pPr>
              <w:pStyle w:val="TableContents"/>
              <w:bidi w:val="0"/>
              <w:spacing w:lineRule="auto" w:line="300" w:before="0" w:after="0"/>
              <w:jc w:val="left"/>
              <w:rPr>
                <w:b/>
              </w:rPr>
            </w:pPr>
            <w:r>
              <w:rPr>
                <w:b/>
              </w:rPr>
              <w:t>%)</w:t>
            </w:r>
          </w:p>
        </w:tc>
      </w:tr>
      <w:tr>
        <w:trPr/>
        <w:tc>
          <w:tcPr>
            <w:tcW w:w="39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240" w:before="0" w:after="0"/>
              <w:ind w:left="447" w:right="0" w:hanging="447"/>
              <w:jc w:val="left"/>
              <w:rPr/>
            </w:pPr>
            <w:r>
              <w:rPr/>
              <w:t>Weighted average shares outstanding—diluted (in millions) (2)</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pPr>
            <w:r>
              <w:rPr/>
              <w:t>58.3</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pPr>
            <w:r>
              <w:rPr/>
              <w:t>62.0</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pPr>
            <w:r>
              <w:rPr/>
              <w:t>58.0</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pPr>
            <w:r>
              <w:rPr/>
              <w:t>63.8</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before="0" w:after="283"/>
              <w:jc w:val="right"/>
              <w:rPr/>
            </w:pPr>
            <w:r>
              <w:rPr/>
              <w:t> </w:t>
            </w:r>
          </w:p>
        </w:tc>
        <w:tc>
          <w:tcPr>
            <w:tcW w:w="363" w:type="dxa"/>
            <w:tcBorders/>
            <w:vAlign w:val="bottom"/>
          </w:tcPr>
          <w:p>
            <w:pPr>
              <w:pStyle w:val="TableContents"/>
              <w:bidi w:val="0"/>
              <w:spacing w:before="0" w:after="283"/>
              <w:jc w:val="left"/>
              <w:rPr/>
            </w:pPr>
            <w:r>
              <w:rPr/>
              <w:t> </w:t>
            </w:r>
          </w:p>
        </w:tc>
      </w:tr>
      <w:tr>
        <w:trPr/>
        <w:tc>
          <w:tcPr>
            <w:tcW w:w="39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549"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283"/>
              <w:jc w:val="left"/>
              <w:rPr/>
            </w:pPr>
            <w:r>
              <w:rPr/>
              <w:t> </w:t>
            </w:r>
          </w:p>
        </w:tc>
      </w:tr>
      <w:tr>
        <w:trPr/>
        <w:tc>
          <w:tcPr>
            <w:tcW w:w="3986" w:type="dxa"/>
            <w:tcBorders/>
            <w:vAlign w:val="bottom"/>
          </w:tcPr>
          <w:p>
            <w:pPr>
              <w:pStyle w:val="TableContents"/>
              <w:bidi w:val="0"/>
              <w:spacing w:lineRule="auto" w:line="300" w:before="0" w:after="0"/>
              <w:ind w:left="447" w:right="0" w:hanging="447"/>
              <w:jc w:val="left"/>
              <w:rPr>
                <w:b/>
              </w:rPr>
            </w:pPr>
            <w:r>
              <w:rPr>
                <w:b/>
              </w:rPr>
              <w:t>Non-IFRS diluted earnings per share (in USD)</w:t>
            </w:r>
          </w:p>
        </w:tc>
        <w:tc>
          <w:tcPr>
            <w:tcW w:w="60"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b/>
              </w:rPr>
            </w:pPr>
            <w:r>
              <w:rPr>
                <w:b/>
              </w:rPr>
              <w:t>0.23</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lineRule="auto" w:line="300" w:before="0" w:after="0"/>
              <w:jc w:val="right"/>
              <w:rPr>
                <w:b/>
              </w:rPr>
            </w:pPr>
            <w:r>
              <w:rPr>
                <w:b/>
              </w:rPr>
              <w:t>0.29</w:t>
            </w:r>
          </w:p>
        </w:tc>
        <w:tc>
          <w:tcPr>
            <w:tcW w:w="114"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lineRule="auto" w:line="300" w:before="0" w:after="0"/>
              <w:jc w:val="right"/>
              <w:rPr>
                <w:b/>
              </w:rPr>
            </w:pPr>
            <w:r>
              <w:rPr>
                <w:b/>
              </w:rPr>
              <w:t>(22</w:t>
            </w:r>
          </w:p>
        </w:tc>
        <w:tc>
          <w:tcPr>
            <w:tcW w:w="33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b/>
              </w:rPr>
            </w:pPr>
            <w:r>
              <w:rPr>
                <w:b/>
              </w:rPr>
              <w:t>0.29</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lineRule="auto" w:line="300" w:before="0" w:after="0"/>
              <w:jc w:val="right"/>
              <w:rPr>
                <w:b/>
              </w:rPr>
            </w:pPr>
            <w:r>
              <w:rPr>
                <w:b/>
              </w:rPr>
              <w:t>0.45</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549" w:type="dxa"/>
            <w:tcBorders/>
            <w:vAlign w:val="bottom"/>
          </w:tcPr>
          <w:p>
            <w:pPr>
              <w:pStyle w:val="TableContents"/>
              <w:bidi w:val="0"/>
              <w:spacing w:lineRule="auto" w:line="300" w:before="0" w:after="0"/>
              <w:jc w:val="right"/>
              <w:rPr>
                <w:b/>
              </w:rPr>
            </w:pPr>
            <w:r>
              <w:rPr>
                <w:b/>
              </w:rPr>
              <w:t>(36</w:t>
            </w:r>
          </w:p>
        </w:tc>
        <w:tc>
          <w:tcPr>
            <w:tcW w:w="363" w:type="dxa"/>
            <w:tcBorders/>
            <w:vAlign w:val="bottom"/>
          </w:tcPr>
          <w:p>
            <w:pPr>
              <w:pStyle w:val="TableContents"/>
              <w:bidi w:val="0"/>
              <w:spacing w:lineRule="auto" w:line="300" w:before="0" w:after="0"/>
              <w:jc w:val="left"/>
              <w:rPr>
                <w:b/>
              </w:rPr>
            </w:pPr>
            <w:r>
              <w:rPr>
                <w:b/>
              </w:rPr>
              <w:t>%)</w:t>
            </w:r>
          </w:p>
        </w:tc>
      </w:tr>
    </w:tbl>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98" w:name="z05544cf2530044fb926080df0abaff39"/>
      <w:bookmarkStart w:id="99" w:name="z05544cf2530044fb926080df0abaff39"/>
      <w:bookmarkEnd w:id="99"/>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left"/>
              <w:rPr/>
            </w:pPr>
            <w:r>
              <w:rPr/>
              <w:t>Non-IFRS net income includes the estimated tax impact from the expense items reconciling between net income (loss) and non-IFRS net income</w:t>
            </w:r>
          </w:p>
        </w:tc>
      </w:tr>
    </w:tbl>
    <w:p>
      <w:pPr>
        <w:pStyle w:val="Normal"/>
        <w:bidi w:val="0"/>
        <w:spacing w:before="0" w:after="0"/>
        <w:jc w:val="left"/>
        <w:rPr>
          <w:sz w:val="4"/>
          <w:szCs w:val="4"/>
        </w:rPr>
      </w:pPr>
      <w:r>
        <w:rPr>
          <w:sz w:val="4"/>
          <w:szCs w:val="4"/>
        </w:rPr>
      </w:r>
      <w:bookmarkStart w:id="100" w:name="z78b67c776d2a4b8aa72aa61c6b99c9ae"/>
      <w:bookmarkStart w:id="101" w:name="z78b67c776d2a4b8aa72aa61c6b99c9ae"/>
      <w:bookmarkEnd w:id="101"/>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(2)</w:t>
            </w:r>
          </w:p>
        </w:tc>
        <w:tc>
          <w:tcPr>
            <w:tcW w:w="9924" w:type="dxa"/>
            <w:tcBorders/>
            <w:vAlign w:val="center"/>
          </w:tcPr>
          <w:p>
            <w:pPr>
              <w:pStyle w:val="TableContents"/>
              <w:bidi w:val="0"/>
              <w:spacing w:before="0" w:after="0"/>
              <w:jc w:val="left"/>
              <w:rPr/>
            </w:pPr>
            <w:r>
              <w:rPr/>
              <w:t>Non-IFRS earnings per share is computed using the same weighted-average number of shares that are used to compute IFRS earnings per share</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CONDENSED CONSOLIDATED INTERIM STATEMENTS OF FINANCIAL POSITION</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(Unaudited)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2" w:name="z68602b2b01594205913f0382dcc4ac79"/>
      <w:bookmarkStart w:id="103" w:name="z68602b2b01594205913f0382dcc4ac79"/>
      <w:bookmarkEnd w:id="103"/>
    </w:p>
    <w:tbl>
      <w:tblPr>
        <w:tblW w:w="8699" w:type="dxa"/>
        <w:jc w:val="left"/>
        <w:tblInd w:w="0" w:type="dxa"/>
        <w:tblLayout w:type="fixed"/>
        <w:tblCellMar>
          <w:top w:w="0" w:type="dxa"/>
          <w:left w:w="0" w:type="dxa"/>
          <w:bottom w:w="0" w:type="dxa"/>
          <w:right w:w="0" w:type="dxa"/>
        </w:tblCellMar>
      </w:tblPr>
      <w:tblGrid>
        <w:gridCol w:w="6230"/>
        <w:gridCol w:w="60"/>
        <w:gridCol w:w="60"/>
        <w:gridCol w:w="800"/>
        <w:gridCol w:w="60"/>
        <w:gridCol w:w="60"/>
        <w:gridCol w:w="93"/>
        <w:gridCol w:w="1261"/>
        <w:gridCol w:w="75"/>
      </w:tblGrid>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lineRule="auto" w:line="300" w:before="0" w:after="0"/>
              <w:jc w:val="center"/>
              <w:rPr>
                <w:b/>
              </w:rPr>
            </w:pPr>
            <w:r>
              <w:rPr>
                <w:b/>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lineRule="auto" w:line="300" w:before="0" w:after="0"/>
              <w:jc w:val="center"/>
              <w:rPr>
                <w:b/>
              </w:rPr>
            </w:pPr>
            <w:r>
              <w:rPr>
                <w:b/>
              </w:rPr>
              <w:t>December 31</w:t>
            </w:r>
          </w:p>
        </w:tc>
        <w:tc>
          <w:tcPr>
            <w:tcW w:w="7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75" w:type="dxa"/>
            <w:tcBorders/>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4"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USD thousands</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center"/>
              <w:rPr>
                <w:b/>
              </w:rPr>
            </w:pPr>
            <w:r>
              <w:rPr>
                <w:b/>
              </w:rPr>
              <w:t>Assets</w:t>
            </w:r>
          </w:p>
        </w:tc>
        <w:tc>
          <w:tcPr>
            <w:tcW w:w="60" w:type="dxa"/>
            <w:tcBorders/>
            <w:shd w:fill="CCEEFF" w:val="clear"/>
            <w:vAlign w:val="bottom"/>
          </w:tcPr>
          <w:p>
            <w:pPr>
              <w:pStyle w:val="TableContents"/>
              <w:bidi w:val="0"/>
              <w:spacing w:before="0" w:after="283"/>
              <w:jc w:val="left"/>
              <w:rPr/>
            </w:pPr>
            <w:r>
              <w:rPr/>
              <w:t> </w:t>
            </w:r>
          </w:p>
        </w:tc>
        <w:tc>
          <w:tcPr>
            <w:tcW w:w="8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jc w:val="left"/>
              <w:rPr/>
            </w:pPr>
            <w:r>
              <w:rPr>
                <w:b/>
              </w:rPr>
              <w:t>ASSETS</w:t>
            </w:r>
            <w:r>
              <w:rPr/>
              <w:t>:</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Cash and cash equivalents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132,044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133,308</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Trade receivables, 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224,032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196,101</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Other receivables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6,116</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Current tax assets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2,302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tcMar>
              <w:bottom w:w="28" w:type="dxa"/>
            </w:tcMar>
            <w:vAlign w:val="bottom"/>
          </w:tcPr>
          <w:p>
            <w:pPr>
              <w:pStyle w:val="TableContents"/>
              <w:bidi w:val="0"/>
              <w:spacing w:lineRule="auto" w:line="300" w:before="0" w:after="0"/>
              <w:jc w:val="right"/>
              <w:rPr/>
            </w:pPr>
            <w:r>
              <w:rPr/>
              <w:t>1,809</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jc w:val="left"/>
              <w:rPr>
                <w:b/>
              </w:rPr>
            </w:pPr>
            <w:r>
              <w:rPr>
                <w:b/>
              </w:rPr>
              <w:t>TOTAL CURRENT ASSETS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363,909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tcMar>
              <w:bottom w:w="28" w:type="dxa"/>
            </w:tcMar>
            <w:vAlign w:val="bottom"/>
          </w:tcPr>
          <w:p>
            <w:pPr>
              <w:pStyle w:val="TableContents"/>
              <w:bidi w:val="0"/>
              <w:spacing w:lineRule="auto" w:line="300" w:before="0" w:after="0"/>
              <w:jc w:val="right"/>
              <w:rPr/>
            </w:pPr>
            <w:r>
              <w:rPr/>
              <w:t>337,334</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Fixed assets, 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28,491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18,033</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Right-of-use assets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31,816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27,005</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Intangible assets, net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308,623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318,376</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Deferred tax assets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8,518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9,407</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Investment in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45,000</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Other long-term assets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918</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NON-CURRENT ASSETS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423,425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418,739</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ASSETS</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787,334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756,073</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center"/>
              <w:rPr>
                <w:b/>
              </w:rPr>
            </w:pPr>
            <w:r>
              <w:rPr>
                <w:b/>
              </w:rPr>
              <w:t>Liabilities and shareholders’ equity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LIABILITIES: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Current maturities of lease liabilities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14,856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13,287</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Trade payables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230,336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207,020</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Other payables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43,272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41,282</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Current tax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441</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CURRENT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289,100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262,030</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Employee benefits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213</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Long-term lease liabilities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21,878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18,644</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Deferred tax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515</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NON-CURRENT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22,288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19,372</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LIABILITIES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311,388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281,402</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SHAREHOLDERS’ EQUITY:</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Share 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324</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Share premium</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281,026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lineRule="auto" w:line="300" w:before="0" w:after="0"/>
              <w:jc w:val="right"/>
              <w:rPr/>
            </w:pPr>
            <w:r>
              <w:rPr/>
              <w:t>278,510</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lineRule="auto" w:line="300" w:before="0" w:after="0"/>
              <w:ind w:left="325" w:right="0" w:hanging="0"/>
              <w:jc w:val="left"/>
              <w:rPr/>
            </w:pPr>
            <w:r>
              <w:rPr/>
              <w:t>Other comprehensive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lineRule="auto" w:line="300" w:before="0" w:after="0"/>
              <w:jc w:val="right"/>
              <w:rPr/>
            </w:pPr>
            <w:r>
              <w:rPr/>
              <w:t>348</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ind w:left="325" w:right="0" w:hanging="0"/>
              <w:jc w:val="left"/>
              <w:rPr/>
            </w:pPr>
            <w:r>
              <w:rPr/>
              <w:t>Retained earnings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193,814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195,489</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SHAREHOLDERS’ EQUITY</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475,946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474,671</w:t>
            </w:r>
          </w:p>
        </w:tc>
        <w:tc>
          <w:tcPr>
            <w:tcW w:w="75" w:type="dxa"/>
            <w:tcBorders/>
            <w:shd w:fill="CCEEFF" w:val="clear"/>
            <w:vAlign w:val="bottom"/>
          </w:tcPr>
          <w:p>
            <w:pPr>
              <w:pStyle w:val="TableContents"/>
              <w:bidi w:val="0"/>
              <w:spacing w:before="0" w:after="283"/>
              <w:jc w:val="left"/>
              <w:rPr/>
            </w:pPr>
            <w:r>
              <w:rPr/>
              <w:t> </w:t>
            </w:r>
          </w:p>
        </w:tc>
      </w:tr>
      <w:tr>
        <w:trPr/>
        <w:tc>
          <w:tcPr>
            <w:tcW w:w="6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230" w:type="dxa"/>
            <w:tcBorders/>
            <w:shd w:fill="CCEEFF" w:val="clear"/>
            <w:vAlign w:val="bottom"/>
          </w:tcPr>
          <w:p>
            <w:pPr>
              <w:pStyle w:val="TableContents"/>
              <w:bidi w:val="0"/>
              <w:spacing w:lineRule="auto" w:line="300" w:before="0" w:after="0"/>
              <w:jc w:val="left"/>
              <w:rPr>
                <w:b/>
              </w:rPr>
            </w:pPr>
            <w:r>
              <w:rPr>
                <w:b/>
              </w:rPr>
              <w:t>TOTAL LIABILITIES AND SHAREHOLDERS’ EQUITY</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787,334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261"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b/>
              </w:rPr>
            </w:pPr>
            <w:r>
              <w:rPr>
                <w:b/>
              </w:rPr>
              <w:t>756,073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CONDENSED CONSOLIDATED INTERIM STATEMENTS OF OPERATION AND OTHER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COMPREHENSIVE INCOME (LOSS)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(Unaudited)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4" w:name="zf51a3b3d7b2549808df4297faacfa4c3"/>
      <w:bookmarkStart w:id="105" w:name="zf51a3b3d7b2549808df4297faacfa4c3"/>
      <w:bookmarkEnd w:id="105"/>
    </w:p>
    <w:tbl>
      <w:tblPr>
        <w:tblW w:w="10205" w:type="dxa"/>
        <w:jc w:val="left"/>
        <w:tblInd w:w="0" w:type="dxa"/>
        <w:tblLayout w:type="fixed"/>
        <w:tblCellMar>
          <w:top w:w="0" w:type="dxa"/>
          <w:left w:w="0" w:type="dxa"/>
          <w:bottom w:w="0" w:type="dxa"/>
          <w:right w:w="0" w:type="dxa"/>
        </w:tblCellMar>
      </w:tblPr>
      <w:tblGrid>
        <w:gridCol w:w="5958"/>
        <w:gridCol w:w="60"/>
        <w:gridCol w:w="60"/>
        <w:gridCol w:w="809"/>
        <w:gridCol w:w="95"/>
        <w:gridCol w:w="60"/>
        <w:gridCol w:w="60"/>
        <w:gridCol w:w="809"/>
        <w:gridCol w:w="95"/>
        <w:gridCol w:w="60"/>
        <w:gridCol w:w="69"/>
        <w:gridCol w:w="923"/>
        <w:gridCol w:w="109"/>
        <w:gridCol w:w="69"/>
        <w:gridCol w:w="69"/>
        <w:gridCol w:w="784"/>
        <w:gridCol w:w="116"/>
      </w:tblGrid>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3"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For the six months</w:t>
            </w:r>
          </w:p>
          <w:p>
            <w:pPr>
              <w:pStyle w:val="TableContents"/>
              <w:bidi w:val="0"/>
              <w:spacing w:lineRule="auto" w:line="300" w:before="0" w:after="0"/>
              <w:jc w:val="center"/>
              <w:rPr>
                <w:b/>
              </w:rPr>
            </w:pPr>
            <w:r>
              <w:rPr>
                <w:b/>
              </w:rPr>
              <w:t>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3"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For the three months</w:t>
            </w:r>
          </w:p>
          <w:p>
            <w:pPr>
              <w:pStyle w:val="TableContents"/>
              <w:bidi w:val="0"/>
              <w:spacing w:lineRule="auto" w:line="300" w:before="0" w:after="0"/>
              <w:jc w:val="center"/>
              <w:rPr>
                <w:b/>
              </w:rPr>
            </w:pPr>
            <w:r>
              <w:rPr>
                <w:b/>
              </w:rPr>
              <w:t>ended June 30</w:t>
            </w:r>
          </w:p>
        </w:tc>
        <w:tc>
          <w:tcPr>
            <w:tcW w:w="116" w:type="dxa"/>
            <w:tcBorders/>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3"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6" w:type="dxa"/>
            <w:tcBorders/>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3"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USD thousands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3"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USD thousands</w:t>
            </w:r>
          </w:p>
        </w:tc>
        <w:tc>
          <w:tcPr>
            <w:tcW w:w="116" w:type="dxa"/>
            <w:tcBorders/>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853" w:type="dxa"/>
            <w:gridSpan w:val="2"/>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pPr>
            <w:r>
              <w:rPr/>
              <w:t>Revenues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187,360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169,278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lineRule="auto" w:line="300" w:before="0" w:after="0"/>
              <w:jc w:val="right"/>
              <w:rPr/>
            </w:pPr>
            <w:r>
              <w:rPr/>
              <w:t>100,518</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lineRule="auto" w:line="300" w:before="0" w:after="0"/>
              <w:jc w:val="right"/>
              <w:rPr/>
            </w:pPr>
            <w:r>
              <w:rPr/>
              <w:t>90,948</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pPr>
            <w:r>
              <w:rPr/>
              <w:t>Cost of revenues (Exclusive of depreciation and amortization shown separately below)</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35,226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23,256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lineRule="auto" w:line="300" w:before="0" w:after="0"/>
              <w:jc w:val="right"/>
              <w:rPr/>
            </w:pPr>
            <w:r>
              <w:rPr/>
              <w:t>18,793</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lineRule="auto" w:line="300" w:before="0" w:after="0"/>
              <w:jc w:val="right"/>
              <w:rPr/>
            </w:pPr>
            <w:r>
              <w:rPr/>
              <w:t>12,057</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pPr>
            <w:r>
              <w:rPr/>
              <w:t>Research and development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29,762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27,729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lineRule="auto" w:line="300" w:before="0" w:after="0"/>
              <w:jc w:val="right"/>
              <w:rPr/>
            </w:pPr>
            <w:r>
              <w:rPr/>
              <w:t>14,711</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lineRule="auto" w:line="300" w:before="0" w:after="0"/>
              <w:jc w:val="right"/>
              <w:rPr/>
            </w:pPr>
            <w:r>
              <w:rPr/>
              <w:t>14,965</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Selling and marketing expenses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lineRule="auto" w:line="300" w:before="0" w:after="0"/>
              <w:jc w:val="right"/>
              <w:rPr/>
            </w:pPr>
            <w:r>
              <w:rPr/>
              <w:t>69,007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lineRule="auto" w:line="300" w:before="0" w:after="0"/>
              <w:jc w:val="right"/>
              <w:rPr/>
            </w:pPr>
            <w:r>
              <w:rPr/>
              <w:t>60,161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lineRule="auto" w:line="300" w:before="0" w:after="0"/>
              <w:jc w:val="right"/>
              <w:rPr/>
            </w:pPr>
            <w:r>
              <w:rPr/>
              <w:t>34,731</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lineRule="auto" w:line="300" w:before="0" w:after="0"/>
              <w:jc w:val="right"/>
              <w:rPr/>
            </w:pPr>
            <w:r>
              <w:rPr/>
              <w:t>31,295</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pPr>
            <w:r>
              <w:rPr/>
              <w:t>General and administrative expenses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20,003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15,191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lineRule="auto" w:line="300" w:before="0" w:after="0"/>
              <w:jc w:val="right"/>
              <w:rPr/>
            </w:pPr>
            <w:r>
              <w:rPr/>
              <w:t>10,373</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lineRule="auto" w:line="300" w:before="0" w:after="0"/>
              <w:jc w:val="right"/>
              <w:rPr/>
            </w:pPr>
            <w:r>
              <w:rPr/>
              <w:t>8,406</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34,067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30,788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tcMar>
              <w:bottom w:w="28" w:type="dxa"/>
            </w:tcMar>
            <w:vAlign w:val="bottom"/>
          </w:tcPr>
          <w:p>
            <w:pPr>
              <w:pStyle w:val="TableContents"/>
              <w:bidi w:val="0"/>
              <w:spacing w:lineRule="auto" w:line="300" w:before="0" w:after="0"/>
              <w:jc w:val="right"/>
              <w:rPr/>
            </w:pPr>
            <w:r>
              <w:rPr/>
              <w:t>17,751</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lineRule="auto" w:line="300" w:before="0" w:after="0"/>
              <w:jc w:val="right"/>
              <w:rPr/>
            </w:pPr>
            <w:r>
              <w:rPr/>
              <w:t>15,521</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Total operating costs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152,839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133,869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tcMar>
              <w:bottom w:w="28" w:type="dxa"/>
            </w:tcMar>
            <w:vAlign w:val="bottom"/>
          </w:tcPr>
          <w:p>
            <w:pPr>
              <w:pStyle w:val="TableContents"/>
              <w:bidi w:val="0"/>
              <w:spacing w:lineRule="auto" w:line="300" w:before="0" w:after="0"/>
              <w:jc w:val="right"/>
              <w:rPr/>
            </w:pPr>
            <w:r>
              <w:rPr/>
              <w:t>77,566</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lineRule="auto" w:line="300" w:before="0" w:after="0"/>
              <w:jc w:val="right"/>
              <w:rPr/>
            </w:pPr>
            <w:r>
              <w:rPr/>
              <w:t>70,187</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Operating profit (loss)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(705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12,153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tcMar>
              <w:bottom w:w="28" w:type="dxa"/>
            </w:tcMar>
            <w:vAlign w:val="bottom"/>
          </w:tcPr>
          <w:p>
            <w:pPr>
              <w:pStyle w:val="TableContents"/>
              <w:bidi w:val="0"/>
              <w:spacing w:lineRule="auto" w:line="300" w:before="0" w:after="0"/>
              <w:jc w:val="right"/>
              <w:rPr/>
            </w:pPr>
            <w:r>
              <w:rPr/>
              <w:t>4,159</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lineRule="auto" w:line="300" w:before="0" w:after="0"/>
              <w:jc w:val="right"/>
              <w:rPr/>
            </w:pPr>
            <w:r>
              <w:rPr/>
              <w:t>8,704</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Financing income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lineRule="auto" w:line="300" w:before="0" w:after="0"/>
              <w:jc w:val="right"/>
              <w:rPr/>
            </w:pPr>
            <w:r>
              <w:rPr/>
              <w:t>(1,731</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lineRule="auto" w:line="300" w:before="0" w:after="0"/>
              <w:jc w:val="right"/>
              <w:rPr/>
            </w:pPr>
            <w:r>
              <w:rPr/>
              <w:t>(3,741</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lineRule="auto" w:line="300" w:before="0" w:after="0"/>
              <w:jc w:val="right"/>
              <w:rPr/>
            </w:pPr>
            <w:r>
              <w:rPr/>
              <w:t>(1,007</w:t>
            </w:r>
          </w:p>
        </w:tc>
        <w:tc>
          <w:tcPr>
            <w:tcW w:w="109" w:type="dxa"/>
            <w:tcBorders/>
            <w:vAlign w:val="bottom"/>
          </w:tcPr>
          <w:p>
            <w:pPr>
              <w:pStyle w:val="TableContents"/>
              <w:bidi w:val="0"/>
              <w:spacing w:lineRule="auto" w:line="300" w:before="0" w:after="0"/>
              <w:jc w:val="left"/>
              <w:rPr/>
            </w:pPr>
            <w:r>
              <w:rPr/>
              <w:t>)</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lineRule="auto" w:line="300" w:before="0" w:after="0"/>
              <w:jc w:val="right"/>
              <w:rPr/>
            </w:pPr>
            <w:r>
              <w:rPr/>
              <w:t>(1,971</w:t>
            </w:r>
          </w:p>
        </w:tc>
        <w:tc>
          <w:tcPr>
            <w:tcW w:w="116" w:type="dxa"/>
            <w:tcBorders/>
            <w:vAlign w:val="bottom"/>
          </w:tcPr>
          <w:p>
            <w:pPr>
              <w:pStyle w:val="TableContents"/>
              <w:bidi w:val="0"/>
              <w:spacing w:lineRule="auto" w:line="300" w:before="0" w:after="0"/>
              <w:jc w:val="left"/>
              <w:rPr/>
            </w:pPr>
            <w:r>
              <w:rPr/>
              <w:t>)</w:t>
            </w:r>
          </w:p>
        </w:tc>
      </w:tr>
      <w:tr>
        <w:trPr/>
        <w:tc>
          <w:tcPr>
            <w:tcW w:w="5958" w:type="dxa"/>
            <w:tcBorders/>
            <w:shd w:fill="CCEEFF" w:val="clear"/>
            <w:vAlign w:val="bottom"/>
          </w:tcPr>
          <w:p>
            <w:pPr>
              <w:pStyle w:val="TableContents"/>
              <w:bidi w:val="0"/>
              <w:spacing w:lineRule="auto" w:line="300" w:before="0" w:after="0"/>
              <w:jc w:val="left"/>
              <w:rPr/>
            </w:pPr>
            <w:r>
              <w:rPr/>
              <w:t>Financing expenses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1,383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1,282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308</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572</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b/>
              </w:rPr>
            </w:pPr>
            <w:r>
              <w:rPr>
                <w:b/>
              </w:rPr>
              <w:t>Financing income, net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2,459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699</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1,399</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b/>
              </w:rPr>
            </w:pPr>
            <w:r>
              <w:rPr>
                <w:b/>
              </w:rPr>
              <w:t>Profit (loss) before taxes on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(357</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14,612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lineRule="auto" w:line="300" w:before="0" w:after="0"/>
              <w:jc w:val="right"/>
              <w:rPr/>
            </w:pPr>
            <w:r>
              <w:rPr/>
              <w:t>4,858</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lineRule="auto" w:line="300" w:before="0" w:after="0"/>
              <w:jc w:val="right"/>
              <w:rPr/>
            </w:pPr>
            <w:r>
              <w:rPr/>
              <w:t>10,103</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pPr>
            <w:r>
              <w:rPr/>
              <w:t>Tax expenses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1,318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4,313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1,218</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1,437</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b/>
              </w:rPr>
            </w:pPr>
            <w:r>
              <w:rPr>
                <w:b/>
              </w:rPr>
              <w:t>Profit (loss) for the period</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(1,675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9"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10,299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23"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3,640</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78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8,666</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b/>
              </w:rPr>
            </w:pPr>
            <w:r>
              <w:rPr>
                <w:b/>
              </w:rPr>
              <w:t>Other comprehensive income items: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Foreign currency translation differences for foreign operation</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430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3,348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tcMar>
              <w:bottom w:w="28" w:type="dxa"/>
            </w:tcMar>
            <w:vAlign w:val="bottom"/>
          </w:tcPr>
          <w:p>
            <w:pPr>
              <w:pStyle w:val="TableContents"/>
              <w:bidi w:val="0"/>
              <w:spacing w:lineRule="auto" w:line="300" w:before="0" w:after="0"/>
              <w:jc w:val="right"/>
              <w:rPr/>
            </w:pPr>
            <w:r>
              <w:rPr/>
              <w:t>572</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lineRule="auto" w:line="300" w:before="0" w:after="0"/>
              <w:jc w:val="right"/>
              <w:rPr/>
            </w:pPr>
            <w:r>
              <w:rPr/>
              <w:t>2,590</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b/>
              </w:rPr>
            </w:pPr>
            <w:r>
              <w:rPr>
                <w:b/>
              </w:rPr>
              <w:t>Total other comprehensive income for the period</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430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9" w:type="dxa"/>
            <w:tcBorders>
              <w:bottom w:val="single" w:sz="12" w:space="0" w:color="000000"/>
            </w:tcBorders>
            <w:tcMar>
              <w:bottom w:w="28" w:type="dxa"/>
            </w:tcMar>
            <w:vAlign w:val="bottom"/>
          </w:tcPr>
          <w:p>
            <w:pPr>
              <w:pStyle w:val="TableContents"/>
              <w:bidi w:val="0"/>
              <w:spacing w:lineRule="auto" w:line="300" w:before="0" w:after="0"/>
              <w:jc w:val="right"/>
              <w:rPr/>
            </w:pPr>
            <w:r>
              <w:rPr/>
              <w:t>3,348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3" w:type="dxa"/>
            <w:tcBorders>
              <w:bottom w:val="single" w:sz="12" w:space="0" w:color="000000"/>
            </w:tcBorders>
            <w:tcMar>
              <w:bottom w:w="28" w:type="dxa"/>
            </w:tcMar>
            <w:vAlign w:val="bottom"/>
          </w:tcPr>
          <w:p>
            <w:pPr>
              <w:pStyle w:val="TableContents"/>
              <w:bidi w:val="0"/>
              <w:spacing w:lineRule="auto" w:line="300" w:before="0" w:after="0"/>
              <w:jc w:val="right"/>
              <w:rPr/>
            </w:pPr>
            <w:r>
              <w:rPr/>
              <w:t>572</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single" w:sz="12" w:space="0" w:color="000000"/>
            </w:tcBorders>
            <w:tcMar>
              <w:bottom w:w="28" w:type="dxa"/>
            </w:tcMar>
            <w:vAlign w:val="bottom"/>
          </w:tcPr>
          <w:p>
            <w:pPr>
              <w:pStyle w:val="TableContents"/>
              <w:bidi w:val="0"/>
              <w:spacing w:before="0" w:after="283"/>
              <w:jc w:val="left"/>
              <w:rPr/>
            </w:pPr>
            <w:r>
              <w:rPr/>
              <w:t> </w:t>
            </w:r>
          </w:p>
        </w:tc>
        <w:tc>
          <w:tcPr>
            <w:tcW w:w="784" w:type="dxa"/>
            <w:tcBorders>
              <w:bottom w:val="single" w:sz="12" w:space="0" w:color="000000"/>
            </w:tcBorders>
            <w:tcMar>
              <w:bottom w:w="28" w:type="dxa"/>
            </w:tcMar>
            <w:vAlign w:val="bottom"/>
          </w:tcPr>
          <w:p>
            <w:pPr>
              <w:pStyle w:val="TableContents"/>
              <w:bidi w:val="0"/>
              <w:spacing w:lineRule="auto" w:line="300" w:before="0" w:after="0"/>
              <w:jc w:val="right"/>
              <w:rPr/>
            </w:pPr>
            <w:r>
              <w:rPr/>
              <w:t>2,590</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b/>
              </w:rPr>
            </w:pPr>
            <w:r>
              <w:rPr>
                <w:b/>
              </w:rPr>
              <w:t>Total comprehensive income (loss) for the period</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9" w:type="dxa"/>
            <w:tcBorders>
              <w:bottom w:val="double" w:sz="8" w:space="0" w:color="000000"/>
            </w:tcBorders>
            <w:tcMar>
              <w:bottom w:w="28" w:type="dxa"/>
            </w:tcMar>
            <w:vAlign w:val="bottom"/>
          </w:tcPr>
          <w:p>
            <w:pPr>
              <w:pStyle w:val="TableContents"/>
              <w:bidi w:val="0"/>
              <w:spacing w:lineRule="auto" w:line="300" w:before="0" w:after="0"/>
              <w:jc w:val="right"/>
              <w:rPr/>
            </w:pPr>
            <w:r>
              <w:rPr/>
              <w:t>(1,245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9" w:type="dxa"/>
            <w:tcBorders>
              <w:bottom w:val="double" w:sz="8" w:space="0" w:color="000000"/>
            </w:tcBorders>
            <w:tcMar>
              <w:bottom w:w="28" w:type="dxa"/>
            </w:tcMar>
            <w:vAlign w:val="bottom"/>
          </w:tcPr>
          <w:p>
            <w:pPr>
              <w:pStyle w:val="TableContents"/>
              <w:bidi w:val="0"/>
              <w:spacing w:lineRule="auto" w:line="300" w:before="0" w:after="0"/>
              <w:jc w:val="right"/>
              <w:rPr/>
            </w:pPr>
            <w:r>
              <w:rPr/>
              <w:t>13,647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bottom w:val="double" w:sz="8" w:space="0" w:color="000000"/>
            </w:tcBorders>
            <w:tcMar>
              <w:bottom w:w="28" w:type="dxa"/>
            </w:tcMar>
            <w:vAlign w:val="bottom"/>
          </w:tcPr>
          <w:p>
            <w:pPr>
              <w:pStyle w:val="TableContents"/>
              <w:bidi w:val="0"/>
              <w:spacing w:before="0" w:after="283"/>
              <w:jc w:val="left"/>
              <w:rPr/>
            </w:pPr>
            <w:r>
              <w:rPr/>
              <w:t> </w:t>
            </w:r>
          </w:p>
        </w:tc>
        <w:tc>
          <w:tcPr>
            <w:tcW w:w="923" w:type="dxa"/>
            <w:tcBorders>
              <w:bottom w:val="double" w:sz="8" w:space="0" w:color="000000"/>
            </w:tcBorders>
            <w:tcMar>
              <w:bottom w:w="28" w:type="dxa"/>
            </w:tcMar>
            <w:vAlign w:val="bottom"/>
          </w:tcPr>
          <w:p>
            <w:pPr>
              <w:pStyle w:val="TableContents"/>
              <w:bidi w:val="0"/>
              <w:spacing w:lineRule="auto" w:line="300" w:before="0" w:after="0"/>
              <w:jc w:val="right"/>
              <w:rPr/>
            </w:pPr>
            <w:r>
              <w:rPr/>
              <w:t>4,212</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bottom w:val="double" w:sz="8" w:space="0" w:color="000000"/>
            </w:tcBorders>
            <w:tcMar>
              <w:bottom w:w="28" w:type="dxa"/>
            </w:tcMar>
            <w:vAlign w:val="bottom"/>
          </w:tcPr>
          <w:p>
            <w:pPr>
              <w:pStyle w:val="TableContents"/>
              <w:bidi w:val="0"/>
              <w:spacing w:before="0" w:after="283"/>
              <w:jc w:val="left"/>
              <w:rPr/>
            </w:pPr>
            <w:r>
              <w:rPr/>
              <w:t> </w:t>
            </w:r>
          </w:p>
        </w:tc>
        <w:tc>
          <w:tcPr>
            <w:tcW w:w="784" w:type="dxa"/>
            <w:tcBorders>
              <w:bottom w:val="double" w:sz="8" w:space="0" w:color="000000"/>
            </w:tcBorders>
            <w:tcMar>
              <w:bottom w:w="28" w:type="dxa"/>
            </w:tcMar>
            <w:vAlign w:val="bottom"/>
          </w:tcPr>
          <w:p>
            <w:pPr>
              <w:pStyle w:val="TableContents"/>
              <w:bidi w:val="0"/>
              <w:spacing w:lineRule="auto" w:line="300" w:before="0" w:after="0"/>
              <w:jc w:val="right"/>
              <w:rPr/>
            </w:pPr>
            <w:r>
              <w:rPr/>
              <w:t>11,256</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 </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b/>
              </w:rPr>
            </w:pPr>
            <w:r>
              <w:rPr>
                <w:b/>
              </w:rPr>
              <w:t>Earnings (loss) per share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5958" w:type="dxa"/>
            <w:tcBorders/>
            <w:shd w:fill="CCEEFF" w:val="clear"/>
            <w:vAlign w:val="bottom"/>
          </w:tcPr>
          <w:p>
            <w:pPr>
              <w:pStyle w:val="TableContents"/>
              <w:bidi w:val="0"/>
              <w:spacing w:lineRule="auto" w:line="300" w:before="0" w:after="0"/>
              <w:jc w:val="left"/>
              <w:rPr/>
            </w:pPr>
            <w:r>
              <w:rPr/>
              <w:t>Basic earnings (loss) per share (in USD)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(0.03</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lineRule="auto" w:line="300" w:before="0" w:after="0"/>
              <w:jc w:val="right"/>
              <w:rPr/>
            </w:pPr>
            <w:r>
              <w:rPr/>
              <w:t>0.17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lineRule="auto" w:line="300" w:before="0" w:after="0"/>
              <w:jc w:val="right"/>
              <w:rPr/>
            </w:pPr>
            <w:r>
              <w:rPr/>
              <w:t>0.06</w:t>
            </w:r>
          </w:p>
        </w:tc>
        <w:tc>
          <w:tcPr>
            <w:tcW w:w="10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lineRule="auto" w:line="300" w:before="0" w:after="0"/>
              <w:jc w:val="right"/>
              <w:rPr/>
            </w:pPr>
            <w:r>
              <w:rPr/>
              <w:t>0.14</w:t>
            </w:r>
          </w:p>
        </w:tc>
        <w:tc>
          <w:tcPr>
            <w:tcW w:w="116" w:type="dxa"/>
            <w:tcBorders/>
            <w:shd w:fill="CCEEFF" w:val="clear"/>
            <w:vAlign w:val="bottom"/>
          </w:tcPr>
          <w:p>
            <w:pPr>
              <w:pStyle w:val="TableContents"/>
              <w:bidi w:val="0"/>
              <w:spacing w:before="0" w:after="283"/>
              <w:jc w:val="left"/>
              <w:rPr/>
            </w:pPr>
            <w:r>
              <w:rPr/>
              <w:t> </w:t>
            </w:r>
          </w:p>
        </w:tc>
      </w:tr>
      <w:tr>
        <w:trPr/>
        <w:tc>
          <w:tcPr>
            <w:tcW w:w="5958" w:type="dxa"/>
            <w:tcBorders/>
            <w:vAlign w:val="bottom"/>
          </w:tcPr>
          <w:p>
            <w:pPr>
              <w:pStyle w:val="TableContents"/>
              <w:bidi w:val="0"/>
              <w:spacing w:lineRule="auto" w:line="300" w:before="0" w:after="0"/>
              <w:jc w:val="left"/>
              <w:rPr/>
            </w:pPr>
            <w:r>
              <w:rPr/>
              <w:t>Diluted earnings (loss) per share (in USD)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lineRule="auto" w:line="300" w:before="0" w:after="0"/>
              <w:jc w:val="right"/>
              <w:rPr/>
            </w:pPr>
            <w:r>
              <w:rPr/>
              <w:t>(0.03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lineRule="auto" w:line="300" w:before="0" w:after="0"/>
              <w:jc w:val="right"/>
              <w:rPr/>
            </w:pPr>
            <w:r>
              <w:rPr/>
              <w:t>0.16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lineRule="auto" w:line="300" w:before="0" w:after="0"/>
              <w:jc w:val="right"/>
              <w:rPr/>
            </w:pPr>
            <w:r>
              <w:rPr/>
              <w:t>0.06</w:t>
            </w:r>
          </w:p>
        </w:tc>
        <w:tc>
          <w:tcPr>
            <w:tcW w:w="10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lineRule="auto" w:line="300" w:before="0" w:after="0"/>
              <w:jc w:val="right"/>
              <w:rPr/>
            </w:pPr>
            <w:r>
              <w:rPr/>
              <w:t>0.14</w:t>
            </w:r>
          </w:p>
        </w:tc>
        <w:tc>
          <w:tcPr>
            <w:tcW w:w="116"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CONDENSED CONSOLIDATED INTERIM STATEMENTS OF CHANGES IN EQUITY</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(Unaudited)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6" w:name="z56d2c906309c4b6db6675bd88fcb3055"/>
      <w:bookmarkStart w:id="107" w:name="z56d2c906309c4b6db6675bd88fcb3055"/>
      <w:bookmarkEnd w:id="107"/>
    </w:p>
    <w:tbl>
      <w:tblPr>
        <w:tblW w:w="10205" w:type="dxa"/>
        <w:jc w:val="left"/>
        <w:tblInd w:w="0" w:type="dxa"/>
        <w:tblLayout w:type="fixed"/>
        <w:tblCellMar>
          <w:top w:w="0" w:type="dxa"/>
          <w:left w:w="0" w:type="dxa"/>
          <w:bottom w:w="0" w:type="dxa"/>
          <w:right w:w="0" w:type="dxa"/>
        </w:tblCellMar>
      </w:tblPr>
      <w:tblGrid>
        <w:gridCol w:w="2893"/>
        <w:gridCol w:w="60"/>
        <w:gridCol w:w="126"/>
        <w:gridCol w:w="808"/>
        <w:gridCol w:w="95"/>
        <w:gridCol w:w="60"/>
        <w:gridCol w:w="82"/>
        <w:gridCol w:w="1107"/>
        <w:gridCol w:w="95"/>
        <w:gridCol w:w="60"/>
        <w:gridCol w:w="194"/>
        <w:gridCol w:w="2070"/>
        <w:gridCol w:w="95"/>
        <w:gridCol w:w="60"/>
        <w:gridCol w:w="88"/>
        <w:gridCol w:w="1184"/>
        <w:gridCol w:w="95"/>
        <w:gridCol w:w="60"/>
        <w:gridCol w:w="60"/>
        <w:gridCol w:w="800"/>
        <w:gridCol w:w="113"/>
      </w:tblGrid>
      <w:tr>
        <w:trPr/>
        <w:tc>
          <w:tcPr>
            <w:tcW w:w="28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b/>
              </w:rPr>
              <w:t>Share</w:t>
            </w:r>
            <w:r>
              <w:rPr/>
              <w:t xml:space="preserve"> </w:t>
            </w:r>
            <w:r>
              <w:rPr>
                <w:b/>
              </w:rPr>
              <w:t>capital</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b/>
              </w:rPr>
              <w:t>Share</w:t>
            </w:r>
            <w:r>
              <w:rPr/>
              <w:t xml:space="preserve"> </w:t>
            </w:r>
            <w:r>
              <w:rPr>
                <w:b/>
              </w:rPr>
              <w:t>premium</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4"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b/>
              </w:rPr>
              <w:t>Other comprehensive income (loss</w:t>
            </w: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gridSpan w:val="2"/>
            <w:tcBorders>
              <w:bottom w:val="single" w:sz="12" w:space="0" w:color="000000"/>
            </w:tcBorders>
            <w:tcMar>
              <w:bottom w:w="28" w:type="dxa"/>
            </w:tcMar>
            <w:vAlign w:val="bottom"/>
          </w:tcPr>
          <w:p>
            <w:pPr>
              <w:pStyle w:val="TableContents"/>
              <w:bidi w:val="0"/>
              <w:spacing w:lineRule="auto" w:line="300" w:before="0" w:after="0"/>
              <w:jc w:val="center"/>
              <w:rPr/>
            </w:pPr>
            <w:r>
              <w:rPr>
                <w:b/>
              </w:rPr>
              <w:t>Retained</w:t>
            </w:r>
            <w:r>
              <w:rPr/>
              <w:t xml:space="preserve"> </w:t>
            </w:r>
            <w:r>
              <w:rPr>
                <w:b/>
              </w:rPr>
              <w:t>earnings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Total</w:t>
            </w:r>
          </w:p>
        </w:tc>
        <w:tc>
          <w:tcPr>
            <w:tcW w:w="113"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9" w:type="dxa"/>
            <w:gridSpan w:val="18"/>
            <w:tcBorders>
              <w:bottom w:val="single" w:sz="12" w:space="0" w:color="000000"/>
            </w:tcBorders>
            <w:tcMar>
              <w:bottom w:w="28" w:type="dxa"/>
            </w:tcMar>
            <w:vAlign w:val="bottom"/>
          </w:tcPr>
          <w:p>
            <w:pPr>
              <w:pStyle w:val="TableContents"/>
              <w:bidi w:val="0"/>
              <w:spacing w:lineRule="auto" w:line="300" w:before="0" w:after="0"/>
              <w:jc w:val="center"/>
              <w:rPr>
                <w:b/>
              </w:rPr>
            </w:pPr>
            <w:r>
              <w:rPr>
                <w:b/>
              </w:rPr>
              <w:t>USD thousands</w:t>
            </w:r>
          </w:p>
        </w:tc>
        <w:tc>
          <w:tcPr>
            <w:tcW w:w="113"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2"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b/>
              </w:rPr>
            </w:pPr>
            <w:r>
              <w:rPr>
                <w:b/>
              </w:rPr>
              <w:t>Balance as of January 1, 2026</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lineRule="auto" w:line="300" w:before="0" w:after="0"/>
              <w:jc w:val="right"/>
              <w:rPr/>
            </w:pPr>
            <w:r>
              <w:rPr/>
              <w:t>324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lineRule="auto" w:line="300" w:before="0" w:after="0"/>
              <w:jc w:val="right"/>
              <w:rPr/>
            </w:pPr>
            <w:r>
              <w:rPr/>
              <w:t>278,510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lineRule="auto" w:line="300" w:before="0" w:after="0"/>
              <w:jc w:val="right"/>
              <w:rPr/>
            </w:pPr>
            <w:r>
              <w:rPr/>
              <w:t>348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lineRule="auto" w:line="300" w:before="0" w:after="0"/>
              <w:jc w:val="right"/>
              <w:rPr/>
            </w:pPr>
            <w:r>
              <w:rPr/>
              <w:t>195,489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474,671</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227" w:right="0" w:hanging="227"/>
              <w:jc w:val="left"/>
              <w:rPr>
                <w:b/>
              </w:rPr>
            </w:pPr>
            <w:r>
              <w:rPr>
                <w:b/>
              </w:rPr>
              <w:t>Total comprehensive loss for the period</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pPr>
            <w:r>
              <w:rPr/>
              <w:t>Loss for the period</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lineRule="auto" w:line="300" w:before="0" w:after="0"/>
              <w:jc w:val="right"/>
              <w:rPr/>
            </w:pPr>
            <w:r>
              <w:rPr/>
              <w:t>(1,675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(1,675</w:t>
            </w:r>
          </w:p>
        </w:tc>
        <w:tc>
          <w:tcPr>
            <w:tcW w:w="113" w:type="dxa"/>
            <w:tcBorders/>
            <w:shd w:fill="CCEEFF" w:val="clear"/>
            <w:vAlign w:val="bottom"/>
          </w:tcPr>
          <w:p>
            <w:pPr>
              <w:pStyle w:val="TableContents"/>
              <w:bidi w:val="0"/>
              <w:spacing w:lineRule="auto" w:line="300" w:before="0" w:after="0"/>
              <w:jc w:val="left"/>
              <w:rPr/>
            </w:pPr>
            <w:r>
              <w:rPr/>
              <w:t>)</w:t>
            </w:r>
          </w:p>
        </w:tc>
      </w:tr>
      <w:tr>
        <w:trPr/>
        <w:tc>
          <w:tcPr>
            <w:tcW w:w="2893" w:type="dxa"/>
            <w:tcBorders/>
            <w:vAlign w:val="bottom"/>
          </w:tcPr>
          <w:p>
            <w:pPr>
              <w:pStyle w:val="TableContents"/>
              <w:bidi w:val="0"/>
              <w:spacing w:lineRule="auto" w:line="300" w:before="0" w:after="0"/>
              <w:ind w:left="397" w:right="0" w:hanging="397"/>
              <w:jc w:val="left"/>
              <w:rPr/>
            </w:pPr>
            <w:r>
              <w:rPr/>
              <w:t>Other comprehensive income:</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pPr>
            <w:r>
              <w:rPr/>
              <w:t>Foreign currency translation</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7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430</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227" w:right="0" w:hanging="227"/>
              <w:jc w:val="left"/>
              <w:rPr>
                <w:b/>
              </w:rPr>
            </w:pPr>
            <w:r>
              <w:rPr>
                <w:b/>
              </w:rPr>
              <w:t>Total comprehensive income (loss) for the period</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7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430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(1,675</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(1,245</w:t>
            </w:r>
          </w:p>
        </w:tc>
        <w:tc>
          <w:tcPr>
            <w:tcW w:w="113" w:type="dxa"/>
            <w:tcBorders/>
            <w:shd w:fill="CCEEFF" w:val="clear"/>
            <w:vAlign w:val="bottom"/>
          </w:tcPr>
          <w:p>
            <w:pPr>
              <w:pStyle w:val="TableContents"/>
              <w:bidi w:val="0"/>
              <w:spacing w:lineRule="auto" w:line="300" w:before="0" w:after="0"/>
              <w:jc w:val="left"/>
              <w:rPr/>
            </w:pPr>
            <w:r>
              <w:rPr/>
              <w:t>)</w:t>
            </w:r>
          </w:p>
        </w:tc>
      </w:tr>
      <w:tr>
        <w:trPr/>
        <w:tc>
          <w:tcPr>
            <w:tcW w:w="28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227" w:right="0" w:hanging="227"/>
              <w:jc w:val="left"/>
              <w:rPr>
                <w:b/>
              </w:rPr>
            </w:pPr>
            <w:r>
              <w:rPr>
                <w:b/>
              </w:rPr>
              <w:t>Transactions with owners, recognized directly in equity</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227" w:right="0" w:hanging="227"/>
              <w:jc w:val="left"/>
              <w:rPr/>
            </w:pPr>
            <w:r>
              <w:rPr/>
              <w:t>Own shares acquired</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lineRule="auto" w:line="300" w:before="0" w:after="0"/>
              <w:jc w:val="right"/>
              <w:rPr/>
            </w:pPr>
            <w:r>
              <w:rPr/>
              <w:t>(7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lineRule="auto" w:line="300" w:before="0" w:after="0"/>
              <w:jc w:val="right"/>
              <w:rPr/>
            </w:pPr>
            <w:r>
              <w:rPr/>
              <w:t>(7,146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(7,153</w:t>
            </w:r>
          </w:p>
        </w:tc>
        <w:tc>
          <w:tcPr>
            <w:tcW w:w="113" w:type="dxa"/>
            <w:tcBorders/>
            <w:vAlign w:val="bottom"/>
          </w:tcPr>
          <w:p>
            <w:pPr>
              <w:pStyle w:val="TableContents"/>
              <w:bidi w:val="0"/>
              <w:spacing w:lineRule="auto" w:line="300" w:before="0" w:after="0"/>
              <w:jc w:val="left"/>
              <w:rPr/>
            </w:pPr>
            <w:r>
              <w:rPr/>
              <w:t>)</w:t>
            </w:r>
          </w:p>
        </w:tc>
      </w:tr>
      <w:tr>
        <w:trPr/>
        <w:tc>
          <w:tcPr>
            <w:tcW w:w="2893" w:type="dxa"/>
            <w:tcBorders/>
            <w:shd w:fill="CCEEFF" w:val="clear"/>
            <w:vAlign w:val="bottom"/>
          </w:tcPr>
          <w:p>
            <w:pPr>
              <w:pStyle w:val="TableContents"/>
              <w:bidi w:val="0"/>
              <w:spacing w:lineRule="auto" w:line="300" w:before="0" w:after="0"/>
              <w:ind w:left="397" w:right="0" w:hanging="397"/>
              <w:jc w:val="left"/>
              <w:rPr/>
            </w:pPr>
            <w:r>
              <w:rPr/>
              <w:t>Share based compensation</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lineRule="auto" w:line="300" w:before="0" w:after="0"/>
              <w:jc w:val="right"/>
              <w:rPr/>
            </w:pPr>
            <w:r>
              <w:rPr/>
              <w:t>9,519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9,519</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397" w:right="0" w:hanging="397"/>
              <w:jc w:val="left"/>
              <w:rPr/>
            </w:pPr>
            <w:r>
              <w:rPr/>
              <w:t>Exercise of share options</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lineRule="auto" w:line="300" w:before="0" w:after="0"/>
              <w:jc w:val="right"/>
              <w:rPr/>
            </w:pPr>
            <w:r>
              <w:rPr/>
              <w:t>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lineRule="auto" w:line="300" w:before="0" w:after="0"/>
              <w:jc w:val="right"/>
              <w:rPr/>
            </w:pPr>
            <w:r>
              <w:rPr/>
              <w:t>143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2070"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154</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397" w:right="0" w:hanging="397"/>
              <w:jc w:val="left"/>
              <w:rPr>
                <w:b/>
              </w:rPr>
            </w:pPr>
            <w:r>
              <w:rPr>
                <w:b/>
              </w:rPr>
              <w:t>Balance as of June 30, 2026</w:t>
            </w:r>
          </w:p>
        </w:tc>
        <w:tc>
          <w:tcPr>
            <w:tcW w:w="60" w:type="dxa"/>
            <w:tcBorders/>
            <w:vAlign w:val="bottom"/>
          </w:tcPr>
          <w:p>
            <w:pPr>
              <w:pStyle w:val="TableContents"/>
              <w:bidi w:val="0"/>
              <w:spacing w:before="0" w:after="283"/>
              <w:jc w:val="left"/>
              <w:rPr/>
            </w:pPr>
            <w:r>
              <w:rPr/>
              <w:t> </w:t>
            </w:r>
          </w:p>
        </w:tc>
        <w:tc>
          <w:tcPr>
            <w:tcW w:w="126" w:type="dxa"/>
            <w:tcBorders>
              <w:bottom w:val="double" w:sz="8" w:space="0" w:color="000000"/>
            </w:tcBorders>
            <w:tcMar>
              <w:bottom w:w="28" w:type="dxa"/>
            </w:tcMar>
            <w:vAlign w:val="bottom"/>
          </w:tcPr>
          <w:p>
            <w:pPr>
              <w:pStyle w:val="TableContents"/>
              <w:bidi w:val="0"/>
              <w:spacing w:before="0" w:after="283"/>
              <w:jc w:val="left"/>
              <w:rPr/>
            </w:pPr>
            <w:r>
              <w:rPr/>
              <w:t> </w:t>
            </w:r>
          </w:p>
        </w:tc>
        <w:tc>
          <w:tcPr>
            <w:tcW w:w="808" w:type="dxa"/>
            <w:tcBorders>
              <w:bottom w:val="double" w:sz="8" w:space="0" w:color="000000"/>
            </w:tcBorders>
            <w:tcMar>
              <w:bottom w:w="28" w:type="dxa"/>
            </w:tcMar>
            <w:vAlign w:val="bottom"/>
          </w:tcPr>
          <w:p>
            <w:pPr>
              <w:pStyle w:val="TableContents"/>
              <w:bidi w:val="0"/>
              <w:spacing w:lineRule="auto" w:line="300" w:before="0" w:after="0"/>
              <w:jc w:val="right"/>
              <w:rPr/>
            </w:pPr>
            <w:r>
              <w:rPr/>
              <w:t>328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bottom w:val="double" w:sz="8" w:space="0" w:color="000000"/>
            </w:tcBorders>
            <w:tcMar>
              <w:bottom w:w="28" w:type="dxa"/>
            </w:tcMar>
            <w:vAlign w:val="bottom"/>
          </w:tcPr>
          <w:p>
            <w:pPr>
              <w:pStyle w:val="TableContents"/>
              <w:bidi w:val="0"/>
              <w:spacing w:before="0" w:after="283"/>
              <w:jc w:val="left"/>
              <w:rPr/>
            </w:pPr>
            <w:r>
              <w:rPr/>
              <w:t> </w:t>
            </w:r>
          </w:p>
        </w:tc>
        <w:tc>
          <w:tcPr>
            <w:tcW w:w="1107" w:type="dxa"/>
            <w:tcBorders>
              <w:bottom w:val="double" w:sz="8" w:space="0" w:color="000000"/>
            </w:tcBorders>
            <w:tcMar>
              <w:bottom w:w="28" w:type="dxa"/>
            </w:tcMar>
            <w:vAlign w:val="bottom"/>
          </w:tcPr>
          <w:p>
            <w:pPr>
              <w:pStyle w:val="TableContents"/>
              <w:bidi w:val="0"/>
              <w:spacing w:lineRule="auto" w:line="300" w:before="0" w:after="0"/>
              <w:jc w:val="right"/>
              <w:rPr/>
            </w:pPr>
            <w:r>
              <w:rPr/>
              <w:t>281,026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double" w:sz="8" w:space="0" w:color="000000"/>
            </w:tcBorders>
            <w:tcMar>
              <w:bottom w:w="28" w:type="dxa"/>
            </w:tcMar>
            <w:vAlign w:val="bottom"/>
          </w:tcPr>
          <w:p>
            <w:pPr>
              <w:pStyle w:val="TableContents"/>
              <w:bidi w:val="0"/>
              <w:spacing w:before="0" w:after="283"/>
              <w:jc w:val="left"/>
              <w:rPr/>
            </w:pPr>
            <w:r>
              <w:rPr/>
              <w:t> </w:t>
            </w:r>
          </w:p>
        </w:tc>
        <w:tc>
          <w:tcPr>
            <w:tcW w:w="2070" w:type="dxa"/>
            <w:tcBorders>
              <w:bottom w:val="double" w:sz="8" w:space="0" w:color="000000"/>
            </w:tcBorders>
            <w:tcMar>
              <w:bottom w:w="28" w:type="dxa"/>
            </w:tcMar>
            <w:vAlign w:val="bottom"/>
          </w:tcPr>
          <w:p>
            <w:pPr>
              <w:pStyle w:val="TableContents"/>
              <w:bidi w:val="0"/>
              <w:spacing w:lineRule="auto" w:line="300" w:before="0" w:after="0"/>
              <w:jc w:val="right"/>
              <w:rPr/>
            </w:pPr>
            <w:r>
              <w:rPr/>
              <w:t>778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bottom w:val="double" w:sz="8" w:space="0" w:color="000000"/>
            </w:tcBorders>
            <w:tcMar>
              <w:bottom w:w="28" w:type="dxa"/>
            </w:tcMar>
            <w:vAlign w:val="bottom"/>
          </w:tcPr>
          <w:p>
            <w:pPr>
              <w:pStyle w:val="TableContents"/>
              <w:bidi w:val="0"/>
              <w:spacing w:before="0" w:after="283"/>
              <w:jc w:val="left"/>
              <w:rPr/>
            </w:pPr>
            <w:r>
              <w:rPr/>
              <w:t> </w:t>
            </w:r>
          </w:p>
        </w:tc>
        <w:tc>
          <w:tcPr>
            <w:tcW w:w="1184" w:type="dxa"/>
            <w:tcBorders>
              <w:bottom w:val="double" w:sz="8" w:space="0" w:color="000000"/>
            </w:tcBorders>
            <w:tcMar>
              <w:bottom w:w="28" w:type="dxa"/>
            </w:tcMar>
            <w:vAlign w:val="bottom"/>
          </w:tcPr>
          <w:p>
            <w:pPr>
              <w:pStyle w:val="TableContents"/>
              <w:bidi w:val="0"/>
              <w:spacing w:lineRule="auto" w:line="300" w:before="0" w:after="0"/>
              <w:jc w:val="right"/>
              <w:rPr/>
            </w:pPr>
            <w:r>
              <w:rPr/>
              <w:t>193,814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475,946</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397" w:right="0" w:hanging="397"/>
              <w:jc w:val="left"/>
              <w:rPr>
                <w:b/>
              </w:rPr>
            </w:pPr>
            <w:r>
              <w:rPr>
                <w:b/>
              </w:rPr>
              <w:t>Balance as of January 1, 2025</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lineRule="auto" w:line="300" w:before="0" w:after="0"/>
              <w:jc w:val="right"/>
              <w:rPr/>
            </w:pPr>
            <w:r>
              <w:rPr/>
              <w:t>377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lineRule="auto" w:line="300" w:before="0" w:after="0"/>
              <w:jc w:val="right"/>
              <w:rPr/>
            </w:pPr>
            <w:r>
              <w:rPr/>
              <w:t>362,507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lineRule="auto" w:line="300" w:before="0" w:after="0"/>
              <w:jc w:val="right"/>
              <w:rPr/>
            </w:pPr>
            <w:r>
              <w:rPr/>
              <w:t>(2,476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lineRule="auto" w:line="300" w:before="0" w:after="0"/>
              <w:jc w:val="right"/>
              <w:rPr/>
            </w:pPr>
            <w:r>
              <w:rPr/>
              <w:t>170,446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530,854</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227" w:right="0" w:hanging="227"/>
              <w:jc w:val="left"/>
              <w:rPr>
                <w:b/>
              </w:rPr>
            </w:pPr>
            <w:r>
              <w:rPr>
                <w:b/>
              </w:rPr>
              <w:t>Total comprehensive income for the period</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397" w:right="0" w:hanging="397"/>
              <w:jc w:val="left"/>
              <w:rPr/>
            </w:pPr>
            <w:r>
              <w:rPr/>
              <w:t>Profit for the period</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lineRule="auto" w:line="300" w:before="0" w:after="0"/>
              <w:jc w:val="right"/>
              <w:rPr/>
            </w:pPr>
            <w:r>
              <w:rPr/>
              <w:t>10,299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10,299</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pPr>
            <w:r>
              <w:rPr/>
              <w:t>Other comprehensive income:</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397" w:right="0" w:hanging="397"/>
              <w:jc w:val="left"/>
              <w:rPr/>
            </w:pPr>
            <w:r>
              <w:rPr/>
              <w:t>Foreign currency translation</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2070" w:type="dxa"/>
            <w:tcBorders>
              <w:bottom w:val="single" w:sz="12" w:space="0" w:color="000000"/>
            </w:tcBorders>
            <w:tcMar>
              <w:bottom w:w="28" w:type="dxa"/>
            </w:tcMar>
            <w:vAlign w:val="bottom"/>
          </w:tcPr>
          <w:p>
            <w:pPr>
              <w:pStyle w:val="TableContents"/>
              <w:bidi w:val="0"/>
              <w:spacing w:lineRule="auto" w:line="300" w:before="0" w:after="0"/>
              <w:jc w:val="right"/>
              <w:rPr/>
            </w:pPr>
            <w:r>
              <w:rPr/>
              <w:t>3,348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3,348</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227" w:right="0" w:hanging="227"/>
              <w:jc w:val="left"/>
              <w:rPr>
                <w:b/>
              </w:rPr>
            </w:pPr>
            <w:r>
              <w:rPr>
                <w:b/>
              </w:rPr>
              <w:t>Total comprehensive income for the period</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tcMar>
              <w:bottom w:w="28" w:type="dxa"/>
            </w:tcMar>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2070" w:type="dxa"/>
            <w:tcBorders>
              <w:bottom w:val="single" w:sz="12" w:space="0" w:color="000000"/>
            </w:tcBorders>
            <w:tcMar>
              <w:bottom w:w="28" w:type="dxa"/>
            </w:tcMar>
            <w:vAlign w:val="bottom"/>
          </w:tcPr>
          <w:p>
            <w:pPr>
              <w:pStyle w:val="TableContents"/>
              <w:bidi w:val="0"/>
              <w:spacing w:lineRule="auto" w:line="300" w:before="0" w:after="0"/>
              <w:jc w:val="right"/>
              <w:rPr/>
            </w:pPr>
            <w:r>
              <w:rPr/>
              <w:t>3,348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tcMar>
              <w:bottom w:w="28" w:type="dxa"/>
            </w:tcMar>
            <w:vAlign w:val="bottom"/>
          </w:tcPr>
          <w:p>
            <w:pPr>
              <w:pStyle w:val="TableContents"/>
              <w:bidi w:val="0"/>
              <w:spacing w:lineRule="auto" w:line="300" w:before="0" w:after="0"/>
              <w:jc w:val="right"/>
              <w:rPr/>
            </w:pPr>
            <w:r>
              <w:rPr/>
              <w:t>10,299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13,647</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lineRule="auto" w:line="300" w:before="0" w:after="0"/>
              <w:ind w:left="227" w:right="0" w:hanging="227"/>
              <w:jc w:val="left"/>
              <w:rPr>
                <w:b/>
              </w:rPr>
            </w:pPr>
            <w:r>
              <w:rPr>
                <w:b/>
              </w:rPr>
              <w:t>Transactions with owners, recognized directly in equity</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pPr>
            <w:r>
              <w:rPr/>
              <w:t>Own shares acquired</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lineRule="auto" w:line="300" w:before="0" w:after="0"/>
              <w:jc w:val="right"/>
              <w:rPr/>
            </w:pPr>
            <w:r>
              <w:rPr/>
              <w:t>(42</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lineRule="auto" w:line="300" w:before="0" w:after="0"/>
              <w:jc w:val="right"/>
              <w:rPr/>
            </w:pPr>
            <w:r>
              <w:rPr/>
              <w:t>(71,932</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2070"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184" w:type="dxa"/>
            <w:tcBorders/>
            <w:shd w:fill="CCEEFF" w:val="cle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(71,974</w:t>
            </w:r>
          </w:p>
        </w:tc>
        <w:tc>
          <w:tcPr>
            <w:tcW w:w="113" w:type="dxa"/>
            <w:tcBorders/>
            <w:shd w:fill="CCEEFF" w:val="clear"/>
            <w:vAlign w:val="bottom"/>
          </w:tcPr>
          <w:p>
            <w:pPr>
              <w:pStyle w:val="TableContents"/>
              <w:bidi w:val="0"/>
              <w:spacing w:lineRule="auto" w:line="300" w:before="0" w:after="0"/>
              <w:jc w:val="left"/>
              <w:rPr/>
            </w:pPr>
            <w:r>
              <w:rPr/>
              <w:t>)</w:t>
            </w:r>
          </w:p>
        </w:tc>
      </w:tr>
      <w:tr>
        <w:trPr/>
        <w:tc>
          <w:tcPr>
            <w:tcW w:w="2893" w:type="dxa"/>
            <w:tcBorders/>
            <w:vAlign w:val="bottom"/>
          </w:tcPr>
          <w:p>
            <w:pPr>
              <w:pStyle w:val="TableContents"/>
              <w:bidi w:val="0"/>
              <w:spacing w:lineRule="auto" w:line="300" w:before="0" w:after="0"/>
              <w:ind w:left="397" w:right="0" w:hanging="397"/>
              <w:jc w:val="left"/>
              <w:rPr/>
            </w:pPr>
            <w:r>
              <w:rPr/>
              <w:t>Share based compensation</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lineRule="auto" w:line="300" w:before="0" w:after="0"/>
              <w:jc w:val="right"/>
              <w:rPr/>
            </w:pPr>
            <w:r>
              <w:rPr/>
              <w:t>7,380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lineRule="auto" w:line="300" w:before="0" w:after="0"/>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7,380</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pPr>
            <w:r>
              <w:rPr/>
              <w:t>Exercise of share options</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377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07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382</w:t>
            </w:r>
          </w:p>
        </w:tc>
        <w:tc>
          <w:tcPr>
            <w:tcW w:w="113" w:type="dxa"/>
            <w:tcBorders/>
            <w:shd w:fill="CCEEFF" w:val="clear"/>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07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18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2893" w:type="dxa"/>
            <w:tcBorders/>
            <w:shd w:fill="CCEEFF" w:val="clear"/>
            <w:vAlign w:val="bottom"/>
          </w:tcPr>
          <w:p>
            <w:pPr>
              <w:pStyle w:val="TableContents"/>
              <w:bidi w:val="0"/>
              <w:spacing w:lineRule="auto" w:line="300" w:before="0" w:after="0"/>
              <w:ind w:left="397" w:right="0" w:hanging="397"/>
              <w:jc w:val="left"/>
              <w:rPr>
                <w:b/>
              </w:rPr>
            </w:pPr>
            <w:r>
              <w:rPr>
                <w:b/>
              </w:rPr>
              <w:t>Balance as of June 30, 2025</w:t>
            </w:r>
          </w:p>
        </w:tc>
        <w:tc>
          <w:tcPr>
            <w:tcW w:w="60" w:type="dxa"/>
            <w:tcBorders/>
            <w:shd w:fill="CCEEFF" w:val="clear"/>
            <w:vAlign w:val="bottom"/>
          </w:tcPr>
          <w:p>
            <w:pPr>
              <w:pStyle w:val="TableContents"/>
              <w:bidi w:val="0"/>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340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07"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298,332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207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872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8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180,745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pPr>
            <w:r>
              <w:rPr/>
              <w:t>480,289</w:t>
            </w:r>
          </w:p>
        </w:tc>
        <w:tc>
          <w:tcPr>
            <w:tcW w:w="113" w:type="dxa"/>
            <w:tcBorders/>
            <w:shd w:fill="CCEEFF" w:val="clear"/>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CONDENSED CONSOLIDATED INTERIM STATEMENTS OF CASH FLOWS</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(Unaudited)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108" w:name="z718d55b1c3ce4b03b343d0ebd2224a6d"/>
      <w:bookmarkStart w:id="109" w:name="z718d55b1c3ce4b03b343d0ebd2224a6d"/>
      <w:bookmarkEnd w:id="109"/>
    </w:p>
    <w:tbl>
      <w:tblPr>
        <w:tblW w:w="10205" w:type="dxa"/>
        <w:jc w:val="left"/>
        <w:tblInd w:w="0" w:type="dxa"/>
        <w:tblLayout w:type="fixed"/>
        <w:tblCellMar>
          <w:top w:w="0" w:type="dxa"/>
          <w:left w:w="0" w:type="dxa"/>
          <w:bottom w:w="0" w:type="dxa"/>
          <w:right w:w="0" w:type="dxa"/>
        </w:tblCellMar>
      </w:tblPr>
      <w:tblGrid>
        <w:gridCol w:w="8160"/>
        <w:gridCol w:w="60"/>
        <w:gridCol w:w="60"/>
        <w:gridCol w:w="800"/>
        <w:gridCol w:w="95"/>
        <w:gridCol w:w="60"/>
        <w:gridCol w:w="60"/>
        <w:gridCol w:w="800"/>
        <w:gridCol w:w="110"/>
      </w:tblGrid>
      <w:tr>
        <w:trPr/>
        <w:tc>
          <w:tcPr>
            <w:tcW w:w="8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Six months ended</w:t>
            </w:r>
          </w:p>
          <w:p>
            <w:pPr>
              <w:pStyle w:val="TableContents"/>
              <w:bidi w:val="0"/>
              <w:spacing w:lineRule="auto" w:line="300" w:before="0" w:after="0"/>
              <w:jc w:val="center"/>
              <w:rPr>
                <w:b/>
              </w:rPr>
            </w:pPr>
            <w:r>
              <w:rPr>
                <w:b/>
              </w:rPr>
              <w:t>June 30</w:t>
            </w:r>
          </w:p>
        </w:tc>
        <w:tc>
          <w:tcPr>
            <w:tcW w:w="110"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lineRule="auto" w:line="300" w:before="0" w:after="0"/>
              <w:jc w:val="center"/>
              <w:rPr>
                <w:b/>
              </w:rPr>
            </w:pPr>
            <w:r>
              <w:rPr>
                <w:b/>
              </w:rPr>
              <w:t>2025</w:t>
            </w:r>
          </w:p>
        </w:tc>
        <w:tc>
          <w:tcPr>
            <w:tcW w:w="110"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bottom"/>
          </w:tcPr>
          <w:p>
            <w:pPr>
              <w:pStyle w:val="TableContents"/>
              <w:bidi w:val="0"/>
              <w:spacing w:lineRule="auto" w:line="300" w:before="0" w:after="0"/>
              <w:jc w:val="center"/>
              <w:rPr>
                <w:b/>
              </w:rPr>
            </w:pPr>
            <w:r>
              <w:rPr>
                <w:b/>
              </w:rPr>
              <w:t>USD thousands</w:t>
            </w:r>
          </w:p>
        </w:tc>
        <w:tc>
          <w:tcPr>
            <w:tcW w:w="110" w:type="dxa"/>
            <w:tcBorders/>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jc w:val="left"/>
              <w:rPr/>
            </w:pPr>
            <w:r>
              <w:rPr>
                <w:b/>
              </w:rPr>
              <w:t>CASH FLOWS FROM OPERATING ACTIVITIES</w:t>
            </w:r>
            <w:r>
              <w:rPr/>
              <w:t>:</w:t>
            </w:r>
          </w:p>
        </w:tc>
        <w:tc>
          <w:tcPr>
            <w:tcW w:w="60" w:type="dxa"/>
            <w:tcBorders/>
            <w:shd w:fill="CCEEFF" w:val="clear"/>
            <w:vAlign w:val="bottom"/>
          </w:tcPr>
          <w:p>
            <w:pPr>
              <w:pStyle w:val="TableContents"/>
              <w:bidi w:val="0"/>
              <w:spacing w:before="0" w:after="283"/>
              <w:jc w:val="left"/>
              <w:rPr/>
            </w:pPr>
            <w:r>
              <w:rPr/>
              <w:t> </w:t>
            </w:r>
          </w:p>
        </w:tc>
        <w:tc>
          <w:tcPr>
            <w:tcW w:w="86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325" w:right="0" w:hanging="0"/>
              <w:jc w:val="left"/>
              <w:rPr/>
            </w:pPr>
            <w:r>
              <w:rPr/>
              <w:t>Profit (loss) for the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(1,675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10,299</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325" w:right="0" w:hanging="0"/>
              <w:jc w:val="left"/>
              <w:rPr/>
            </w:pPr>
            <w:r>
              <w:rPr/>
              <w:t>Adjustments for: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0"/>
              <w:jc w:val="left"/>
              <w:rPr/>
            </w:pPr>
            <w:r>
              <w:rPr/>
              <w:t>Depreciation and amortization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34,067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30,788</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608" w:right="0" w:hanging="0"/>
              <w:jc w:val="left"/>
              <w:rPr/>
            </w:pPr>
            <w:r>
              <w:rPr/>
              <w:t>Net financing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(470</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(2,558</w:t>
            </w:r>
          </w:p>
        </w:tc>
        <w:tc>
          <w:tcPr>
            <w:tcW w:w="110" w:type="dxa"/>
            <w:tcBorders/>
            <w:shd w:fill="CCEEFF" w:val="clear"/>
            <w:vAlign w:val="bottom"/>
          </w:tcPr>
          <w:p>
            <w:pPr>
              <w:pStyle w:val="TableContents"/>
              <w:bidi w:val="0"/>
              <w:spacing w:lineRule="auto" w:line="300" w:before="0" w:after="0"/>
              <w:jc w:val="left"/>
              <w:rPr/>
            </w:pPr>
            <w:r>
              <w:rPr/>
              <w:t>)</w:t>
            </w:r>
          </w:p>
        </w:tc>
      </w:tr>
      <w:tr>
        <w:trPr/>
        <w:tc>
          <w:tcPr>
            <w:tcW w:w="8160" w:type="dxa"/>
            <w:tcBorders/>
            <w:vAlign w:val="bottom"/>
          </w:tcPr>
          <w:p>
            <w:pPr>
              <w:pStyle w:val="TableContents"/>
              <w:bidi w:val="0"/>
              <w:spacing w:lineRule="auto" w:line="300" w:before="0" w:after="0"/>
              <w:ind w:left="608" w:right="0" w:hanging="0"/>
              <w:jc w:val="left"/>
              <w:rPr/>
            </w:pPr>
            <w:r>
              <w:rPr/>
              <w:t>Loss on leases modification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38</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608" w:right="0" w:hanging="0"/>
              <w:jc w:val="left"/>
              <w:rPr/>
            </w:pPr>
            <w:r>
              <w:rPr/>
              <w:t>Share-based compensation and restricted shares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9,201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8,609</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0"/>
              <w:jc w:val="left"/>
              <w:rPr/>
            </w:pPr>
            <w:r>
              <w:rPr/>
              <w:t>Tax expenses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1,318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4,313</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0"/>
              <w:jc w:val="left"/>
              <w:rPr/>
            </w:pPr>
            <w:r>
              <w:rPr/>
              <w:t>Change in trade and other receivables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(27,336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33,071</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608" w:right="0" w:hanging="0"/>
              <w:jc w:val="left"/>
              <w:rPr/>
            </w:pPr>
            <w:r>
              <w:rPr/>
              <w:t>Change in trade and other payables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25,817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(39,457</w:t>
            </w:r>
          </w:p>
        </w:tc>
        <w:tc>
          <w:tcPr>
            <w:tcW w:w="110" w:type="dxa"/>
            <w:tcBorders/>
            <w:shd w:fill="CCEEFF" w:val="clear"/>
            <w:vAlign w:val="bottom"/>
          </w:tcPr>
          <w:p>
            <w:pPr>
              <w:pStyle w:val="TableContents"/>
              <w:bidi w:val="0"/>
              <w:spacing w:lineRule="auto" w:line="300" w:before="0" w:after="0"/>
              <w:jc w:val="left"/>
              <w:rPr/>
            </w:pPr>
            <w:r>
              <w:rPr/>
              <w:t>)</w:t>
            </w:r>
          </w:p>
        </w:tc>
      </w:tr>
      <w:tr>
        <w:trPr/>
        <w:tc>
          <w:tcPr>
            <w:tcW w:w="8160" w:type="dxa"/>
            <w:tcBorders/>
            <w:vAlign w:val="bottom"/>
          </w:tcPr>
          <w:p>
            <w:pPr>
              <w:pStyle w:val="TableContents"/>
              <w:bidi w:val="0"/>
              <w:spacing w:lineRule="auto" w:line="300" w:before="0" w:after="0"/>
              <w:ind w:left="608" w:right="0" w:hanging="0"/>
              <w:jc w:val="left"/>
              <w:rPr/>
            </w:pPr>
            <w:r>
              <w:rPr/>
              <w:t>Change in employee benefits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(15</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(20</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lineRule="auto" w:line="300" w:before="0" w:after="0"/>
              <w:ind w:left="608" w:right="0" w:hanging="0"/>
              <w:jc w:val="left"/>
              <w:rPr/>
            </w:pPr>
            <w:r>
              <w:rPr/>
              <w:t>Income taxes received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767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137</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0"/>
              <w:jc w:val="left"/>
              <w:rPr/>
            </w:pPr>
            <w:r>
              <w:rPr/>
              <w:t>Income taxes paid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(1,802</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(9,999</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lineRule="auto" w:line="300" w:before="0" w:after="0"/>
              <w:ind w:left="608" w:right="0" w:hanging="0"/>
              <w:jc w:val="left"/>
              <w:rPr/>
            </w:pPr>
            <w:r>
              <w:rPr/>
              <w:t>Interest received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1,305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2,525</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0"/>
              <w:jc w:val="left"/>
              <w:rPr/>
            </w:pPr>
            <w:r>
              <w:rPr/>
              <w:t>Interest paid</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(954</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(1,115</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325" w:right="0" w:hanging="0"/>
              <w:jc w:val="left"/>
              <w:rPr/>
            </w:pPr>
            <w:r>
              <w:rPr/>
              <w:t>Net cash provided by operating activities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40,231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36,631</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jc w:val="left"/>
              <w:rPr>
                <w:b/>
              </w:rPr>
            </w:pPr>
            <w:r>
              <w:rPr>
                <w:b/>
              </w:rPr>
              <w:t>CASH FLOWS FROM INVESTING ACTIVITIES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608" w:right="0" w:hanging="283"/>
              <w:jc w:val="left"/>
              <w:rPr/>
            </w:pPr>
            <w:r>
              <w:rPr/>
              <w:t>Change in pledged deposits, net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(152</w:t>
            </w:r>
          </w:p>
        </w:tc>
        <w:tc>
          <w:tcPr>
            <w:tcW w:w="110" w:type="dxa"/>
            <w:tcBorders/>
            <w:shd w:fill="CCEEFF" w:val="clear"/>
            <w:vAlign w:val="bottom"/>
          </w:tcPr>
          <w:p>
            <w:pPr>
              <w:pStyle w:val="TableContents"/>
              <w:bidi w:val="0"/>
              <w:spacing w:lineRule="auto" w:line="300" w:before="0" w:after="0"/>
              <w:jc w:val="left"/>
              <w:rPr/>
            </w:pPr>
            <w:r>
              <w:rPr/>
              <w:t>)</w:t>
            </w:r>
          </w:p>
        </w:tc>
      </w:tr>
      <w:tr>
        <w:trPr/>
        <w:tc>
          <w:tcPr>
            <w:tcW w:w="8160" w:type="dxa"/>
            <w:tcBorders/>
            <w:vAlign w:val="bottom"/>
          </w:tcPr>
          <w:p>
            <w:pPr>
              <w:pStyle w:val="TableContents"/>
              <w:bidi w:val="0"/>
              <w:spacing w:lineRule="auto" w:line="300" w:before="0" w:after="0"/>
              <w:ind w:left="608" w:right="0" w:hanging="283"/>
              <w:jc w:val="left"/>
              <w:rPr/>
            </w:pPr>
            <w:r>
              <w:rPr/>
              <w:t>Payments on finance lease receivable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551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604</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608" w:right="0" w:hanging="283"/>
              <w:jc w:val="left"/>
              <w:rPr/>
            </w:pPr>
            <w:r>
              <w:rPr/>
              <w:t>Acquisition of fixed assets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(18,578</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(5,042</w:t>
            </w:r>
          </w:p>
        </w:tc>
        <w:tc>
          <w:tcPr>
            <w:tcW w:w="110" w:type="dxa"/>
            <w:tcBorders/>
            <w:shd w:fill="CCEEFF" w:val="clear"/>
            <w:vAlign w:val="bottom"/>
          </w:tcPr>
          <w:p>
            <w:pPr>
              <w:pStyle w:val="TableContents"/>
              <w:bidi w:val="0"/>
              <w:spacing w:lineRule="auto" w:line="300" w:before="0" w:after="0"/>
              <w:jc w:val="left"/>
              <w:rPr/>
            </w:pPr>
            <w:r>
              <w:rPr/>
              <w:t>)</w:t>
            </w:r>
          </w:p>
        </w:tc>
      </w:tr>
      <w:tr>
        <w:trPr/>
        <w:tc>
          <w:tcPr>
            <w:tcW w:w="8160" w:type="dxa"/>
            <w:tcBorders/>
            <w:vAlign w:val="bottom"/>
          </w:tcPr>
          <w:p>
            <w:pPr>
              <w:pStyle w:val="TableContents"/>
              <w:bidi w:val="0"/>
              <w:spacing w:lineRule="auto" w:line="300" w:before="0" w:after="0"/>
              <w:ind w:left="608" w:right="0" w:hanging="283"/>
              <w:jc w:val="left"/>
              <w:rPr/>
            </w:pPr>
            <w:r>
              <w:rPr/>
              <w:t>Acquisition and capitalization of intangible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(10,557</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(8,152</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lineRule="auto" w:line="300" w:before="0" w:after="0"/>
              <w:ind w:left="608" w:right="0" w:hanging="283"/>
              <w:jc w:val="left"/>
              <w:rPr/>
            </w:pPr>
            <w:r>
              <w:rPr/>
              <w:t>Repayment of debt investment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63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42</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ind w:left="608" w:right="0" w:hanging="283"/>
              <w:jc w:val="left"/>
              <w:rPr/>
            </w:pPr>
            <w:r>
              <w:rPr/>
              <w:t>Net cash used in investing activities</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(28,434</w:t>
            </w:r>
          </w:p>
        </w:tc>
        <w:tc>
          <w:tcPr>
            <w:tcW w:w="95" w:type="dxa"/>
            <w:tcBorders/>
            <w:shd w:fill="CCEEFF" w:val="clear"/>
            <w:vAlign w:val="bottom"/>
          </w:tcPr>
          <w:p>
            <w:pPr>
              <w:pStyle w:val="TableContents"/>
              <w:bidi w:val="0"/>
              <w:spacing w:lineRule="auto" w:line="300"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pPr>
            <w:r>
              <w:rPr/>
              <w:t>(12,700</w:t>
            </w:r>
          </w:p>
        </w:tc>
        <w:tc>
          <w:tcPr>
            <w:tcW w:w="110" w:type="dxa"/>
            <w:tcBorders/>
            <w:shd w:fill="CCEEFF" w:val="clear"/>
            <w:vAlign w:val="bottom"/>
          </w:tcPr>
          <w:p>
            <w:pPr>
              <w:pStyle w:val="TableContents"/>
              <w:bidi w:val="0"/>
              <w:spacing w:lineRule="auto" w:line="300" w:before="0" w:after="0"/>
              <w:jc w:val="left"/>
              <w:rPr/>
            </w:pPr>
            <w:r>
              <w:rPr/>
              <w:t>)</w:t>
            </w:r>
          </w:p>
        </w:tc>
      </w:tr>
      <w:tr>
        <w:trPr/>
        <w:tc>
          <w:tcPr>
            <w:tcW w:w="8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lineRule="auto" w:line="300" w:before="0" w:after="0"/>
              <w:jc w:val="left"/>
              <w:rPr>
                <w:b/>
              </w:rPr>
            </w:pPr>
            <w:r>
              <w:rPr>
                <w:b/>
              </w:rPr>
              <w:t>CASH FLOWS FROM FINANCING ACTIVITIES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283"/>
              <w:jc w:val="left"/>
              <w:rPr/>
            </w:pPr>
            <w:r>
              <w:rPr/>
              <w:t>Acquisition of own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(7,301</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(72,562</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lineRule="auto" w:line="300" w:before="0" w:after="0"/>
              <w:ind w:left="608" w:right="0" w:hanging="283"/>
              <w:jc w:val="left"/>
              <w:rPr/>
            </w:pPr>
            <w:r>
              <w:rPr/>
              <w:t>Proceeds from exercise of share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154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lineRule="auto" w:line="300" w:before="0" w:after="0"/>
              <w:jc w:val="right"/>
              <w:rPr/>
            </w:pPr>
            <w:r>
              <w:rPr/>
              <w:t>382</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283"/>
              <w:jc w:val="left"/>
              <w:rPr/>
            </w:pPr>
            <w:r>
              <w:rPr/>
              <w:t>Leases repayment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(7,816</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(8,247</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283"/>
              <w:jc w:val="left"/>
              <w:rPr/>
            </w:pPr>
            <w:r>
              <w:rPr/>
              <w:t>Net cash used in financing activities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(14,963</w:t>
            </w:r>
          </w:p>
        </w:tc>
        <w:tc>
          <w:tcPr>
            <w:tcW w:w="95" w:type="dxa"/>
            <w:tcBorders/>
            <w:vAlign w:val="bottom"/>
          </w:tcPr>
          <w:p>
            <w:pPr>
              <w:pStyle w:val="TableContents"/>
              <w:bidi w:val="0"/>
              <w:spacing w:lineRule="auto" w:line="300" w:before="0" w:after="0"/>
              <w:jc w:val="left"/>
              <w:rPr/>
            </w:pPr>
            <w:r>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(80,427</w:t>
            </w:r>
          </w:p>
        </w:tc>
        <w:tc>
          <w:tcPr>
            <w:tcW w:w="110" w:type="dxa"/>
            <w:tcBorders/>
            <w:vAlign w:val="bottom"/>
          </w:tcPr>
          <w:p>
            <w:pPr>
              <w:pStyle w:val="TableContents"/>
              <w:bidi w:val="0"/>
              <w:spacing w:lineRule="auto" w:line="300" w:before="0" w:after="0"/>
              <w:jc w:val="left"/>
              <w:rPr/>
            </w:pPr>
            <w:r>
              <w:rPr/>
              <w:t>)</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608" w:right="0" w:hanging="283"/>
              <w:jc w:val="left"/>
              <w:rPr/>
            </w:pPr>
            <w:r>
              <w:rPr/>
              <w:t>Net decrease in cash and cash equivalents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(3,166</w:t>
            </w:r>
          </w:p>
        </w:tc>
        <w:tc>
          <w:tcPr>
            <w:tcW w:w="95" w:type="dxa"/>
            <w:tcBorders/>
            <w:vAlign w:val="bottom"/>
          </w:tcPr>
          <w:p>
            <w:pPr>
              <w:pStyle w:val="TableContents"/>
              <w:bidi w:val="0"/>
              <w:spacing w:lineRule="auto" w:line="300"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b/>
              </w:rPr>
            </w:pPr>
            <w:r>
              <w:rPr>
                <w:b/>
              </w:rPr>
              <w:t>(56,496</w:t>
            </w:r>
          </w:p>
        </w:tc>
        <w:tc>
          <w:tcPr>
            <w:tcW w:w="110" w:type="dxa"/>
            <w:tcBorders/>
            <w:vAlign w:val="bottom"/>
          </w:tcPr>
          <w:p>
            <w:pPr>
              <w:pStyle w:val="TableContents"/>
              <w:bidi w:val="0"/>
              <w:spacing w:lineRule="auto" w:line="300" w:before="0" w:after="0"/>
              <w:jc w:val="left"/>
              <w:rPr>
                <w:b/>
              </w:rPr>
            </w:pPr>
            <w:r>
              <w:rPr>
                <w:b/>
              </w:rPr>
              <w:t>)</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227" w:right="0" w:hanging="208"/>
              <w:jc w:val="left"/>
              <w:rPr>
                <w:b/>
              </w:rPr>
            </w:pPr>
            <w:r>
              <w:rPr>
                <w:b/>
              </w:rPr>
              <w:t>CASH AND CASH EQUIVALENTS AS OF THE BEGINNING OF PERIOD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133,308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lineRule="auto" w:line="300" w:before="0" w:after="0"/>
              <w:jc w:val="right"/>
              <w:rPr/>
            </w:pPr>
            <w:r>
              <w:rPr/>
              <w:t>187,068</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227" w:right="0" w:hanging="208"/>
              <w:jc w:val="left"/>
              <w:rPr>
                <w:b/>
              </w:rPr>
            </w:pPr>
            <w:r>
              <w:rPr>
                <w:b/>
              </w:rPr>
              <w:t>EFFECT OF EXCHANGE RATE FLUCTUATIONS ON CASH AND CASH EQUIVALENTS</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1,902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lineRule="auto" w:line="300" w:before="0" w:after="0"/>
              <w:jc w:val="right"/>
              <w:rPr/>
            </w:pPr>
            <w:r>
              <w:rPr/>
              <w:t>887</w:t>
            </w:r>
          </w:p>
        </w:tc>
        <w:tc>
          <w:tcPr>
            <w:tcW w:w="110" w:type="dxa"/>
            <w:tcBorders/>
            <w:vAlign w:val="bottom"/>
          </w:tcPr>
          <w:p>
            <w:pPr>
              <w:pStyle w:val="TableContents"/>
              <w:bidi w:val="0"/>
              <w:spacing w:before="0" w:after="283"/>
              <w:jc w:val="left"/>
              <w:rPr/>
            </w:pPr>
            <w:r>
              <w:rPr/>
              <w:t> </w:t>
            </w:r>
          </w:p>
        </w:tc>
      </w:tr>
      <w:tr>
        <w:trPr/>
        <w:tc>
          <w:tcPr>
            <w:tcW w:w="81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8160" w:type="dxa"/>
            <w:tcBorders/>
            <w:vAlign w:val="bottom"/>
          </w:tcPr>
          <w:p>
            <w:pPr>
              <w:pStyle w:val="TableContents"/>
              <w:bidi w:val="0"/>
              <w:spacing w:lineRule="auto" w:line="300" w:before="0" w:after="0"/>
              <w:ind w:left="397" w:right="0" w:hanging="397"/>
              <w:jc w:val="left"/>
              <w:rPr>
                <w:b/>
              </w:rPr>
            </w:pPr>
            <w:r>
              <w:rPr>
                <w:b/>
              </w:rPr>
              <w:t>CASH AND CASH EQUIVALENTS AS OF THE END OF PERIOD</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132,044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bottom w:val="double" w:sz="8" w:space="0" w:color="000000"/>
            </w:tcBorders>
            <w:tcMar>
              <w:bottom w:w="28" w:type="dxa"/>
            </w:tcMar>
            <w:vAlign w:val="bottom"/>
          </w:tcPr>
          <w:p>
            <w:pPr>
              <w:pStyle w:val="TableContents"/>
              <w:bidi w:val="0"/>
              <w:spacing w:before="0" w:after="283"/>
              <w:jc w:val="left"/>
              <w:rPr/>
            </w:pPr>
            <w:r>
              <w:rPr/>
              <w:t> </w:t>
            </w:r>
          </w:p>
        </w:tc>
        <w:tc>
          <w:tcPr>
            <w:tcW w:w="800" w:type="dxa"/>
            <w:tcBorders>
              <w:bottom w:val="double" w:sz="8" w:space="0" w:color="000000"/>
            </w:tcBorders>
            <w:tcMar>
              <w:bottom w:w="28" w:type="dxa"/>
            </w:tcMar>
            <w:vAlign w:val="bottom"/>
          </w:tcPr>
          <w:p>
            <w:pPr>
              <w:pStyle w:val="TableContents"/>
              <w:bidi w:val="0"/>
              <w:spacing w:lineRule="auto" w:line="300" w:before="0" w:after="0"/>
              <w:jc w:val="right"/>
              <w:rPr/>
            </w:pPr>
            <w:r>
              <w:rPr/>
              <w:t>131,459</w:t>
            </w:r>
          </w:p>
        </w:tc>
        <w:tc>
          <w:tcPr>
            <w:tcW w:w="110" w:type="dxa"/>
            <w:tcBorders/>
            <w:vAlign w:val="bottom"/>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egoe UI Symbo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4773</Words>
  <Characters>27551</Characters>
  <CharactersWithSpaces>34035</CharactersWithSpaces>
  <Paragraphs>3564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