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822.htm"/>
      <w:bookmarkStart w:id="1" w:name="kszk2635822"/>
      <w:bookmarkStart w:id="2" w:name="zk2635822.htm"/>
      <w:bookmarkStart w:id="3" w:name="kszk2635822"/>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REPORT OF FOREIGN PRIVATE ISSUER PURSUANT TO RULE 13a-16 OR 15d-16 OF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 the Month of August 2026</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001-40504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Nexxen International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82 Yigal Alon Street, Tel Aviv 6789124,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Form 20-F ☒        Form 40-F ☐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Yes ☐        No ☒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“Yes” is marked, indicate below the file number assigned to the registrant in connection with Rule 12g3-2(b): N/A</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i/>
          <w:color w:val="000000"/>
          <w:sz w:val="20"/>
        </w:rPr>
      </w:pPr>
      <w:r>
        <w:rPr>
          <w:rFonts w:ascii="Times New Roman;Times;serif" w:hAnsi="Times New Roman;Times;serif"/>
          <w:b/>
          <w:i/>
          <w:color w:val="000000"/>
          <w:sz w:val="20"/>
        </w:rPr>
        <w:t>Changes in Registrant’s Certifying Accountant; Related Disclosures Re: Accounting Matters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Following review and consultation, the Audit Committee (the “</w:t>
      </w:r>
      <w:r>
        <w:rPr>
          <w:rFonts w:ascii="Times New Roman;Times;serif" w:hAnsi="Times New Roman;Times;serif"/>
          <w:b/>
          <w:i/>
          <w:color w:val="000000"/>
          <w:sz w:val="20"/>
        </w:rPr>
        <w:t>Audit Committee</w:t>
      </w:r>
      <w:r>
        <w:rPr>
          <w:rFonts w:ascii="Times New Roman;Times;serif" w:hAnsi="Times New Roman;Times;serif"/>
          <w:color w:val="000000"/>
          <w:sz w:val="20"/>
        </w:rPr>
        <w:t>”) of the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of Nexxen International Ltd. (the “</w:t>
      </w:r>
      <w:r>
        <w:rPr>
          <w:rFonts w:ascii="Times New Roman;Times;serif" w:hAnsi="Times New Roman;Times;serif"/>
          <w:b/>
          <w:i/>
          <w:color w:val="000000"/>
          <w:sz w:val="20"/>
        </w:rPr>
        <w:t>Company</w:t>
      </w:r>
      <w:r>
        <w:rPr>
          <w:rFonts w:ascii="Times New Roman;Times;serif" w:hAnsi="Times New Roman;Times;serif"/>
          <w:color w:val="000000"/>
          <w:sz w:val="20"/>
        </w:rPr>
        <w:t>”) concluded to recommend to the Board that the Company replace Somekh Chaikin, Member Firm of KPMG International (“</w:t>
      </w:r>
      <w:r>
        <w:rPr>
          <w:rFonts w:ascii="Times New Roman;Times;serif" w:hAnsi="Times New Roman;Times;serif"/>
          <w:b/>
          <w:i/>
          <w:color w:val="000000"/>
          <w:sz w:val="20"/>
        </w:rPr>
        <w:t>KPMG</w:t>
      </w:r>
      <w:r>
        <w:rPr>
          <w:rFonts w:ascii="Times New Roman;Times;serif" w:hAnsi="Times New Roman;Times;serif"/>
          <w:color w:val="000000"/>
          <w:sz w:val="20"/>
        </w:rPr>
        <w:t>”), with Kost Forer Gabbay &amp; Kasierer, a member of Ernst &amp; Young Global (“</w:t>
      </w:r>
      <w:r>
        <w:rPr>
          <w:rFonts w:ascii="Times New Roman;Times;serif" w:hAnsi="Times New Roman;Times;serif"/>
          <w:b/>
          <w:i/>
          <w:color w:val="000000"/>
          <w:sz w:val="20"/>
        </w:rPr>
        <w:t>EY</w:t>
      </w:r>
      <w:r>
        <w:rPr>
          <w:rFonts w:ascii="Times New Roman;Times;serif" w:hAnsi="Times New Roman;Times;serif"/>
          <w:color w:val="000000"/>
          <w:sz w:val="20"/>
        </w:rPr>
        <w:t>”), as the Company’s independent registered public accounting firm for the fiscal year ending December 31, 2026, and approve the engagement of EY as the Company’s independent public accounting firm. The Board subsequently accepted the recommendation of the Audit Committee and approved the engagement of EY as the Company’s independent registered public accounting firm for the fiscal year ending December 31, 2026, contingent and effective upon the approval of such engagement by the Company’s shareholders at the Company’s 2026 Annual General Meeting of Shareholders.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reports of KPMG on the Company’s financial statements for the fiscal years ended December 31, 2025, 2024 and 2023 did not contain an adverse opinion or a disclaimer of opinion and were not qualified or modified as to uncertainty, audit scope or accounting principles. In connection with the audits of the Company’s financial statements for each of the fiscal years ended December 31, 2025, 2024 and 2023, and during the subsequent interim period through the date of this Proxy Statement, there were no disagreements with KPMG on any matters of accounting principles or practices, financial statement disclosure or auditing scope and procedures which, if not resolved to the satisfaction of KPMG, would have caused KPMG to make reference to the matter in their reports on the Company’s financial statements; and there were no reportable events as the term is described in Item 16F(a)(1)(v) of Form 20-F.</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delivered a copy of the disclosure in this Form 6-K to KPMG and requested that a letter addressed to the U.S. Securities and Exchange Commission stating whether or not it agrees with the statements made in response to this disclosure and, if not, stating the respects in which it does not agree. KPMG responded with a letter dated July 31, 2026, a copy of which is furnished as Exhibit 99.1 to this Form 6-K stating that KPMG agrees with the statements set forth above.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Report and related exhibits are incorporated by reference into the Company’s registration statements on Form S-8 (File Nos. 333-258731, 333-277709, 333-285552 and 333-293990), and shall be a part thereof from the date on which this Report is furnished, to the extent not superseded by documents or reports subsequently filed or furnished.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Exhibit</w:t>
      </w:r>
    </w:p>
    <w:p>
      <w:pPr>
        <w:pStyle w:val="TextBody"/>
        <w:bidi w:val="0"/>
        <w:spacing w:lineRule="auto" w:line="300" w:before="0" w:after="0"/>
        <w:jc w:val="left"/>
        <w:rPr/>
      </w:pPr>
      <w:r>
        <w:rPr/>
      </w:r>
    </w:p>
    <w:p>
      <w:pPr>
        <w:pStyle w:val="TextBody"/>
        <w:bidi w:val="0"/>
        <w:spacing w:lineRule="auto" w:line="300" w:before="0" w:after="0"/>
        <w:jc w:val="both"/>
        <w:rPr/>
      </w:pPr>
      <w:hyperlink w:anchor="exhibit_99-1.htm">
        <w:r>
          <w:rPr>
            <w:rStyle w:val="InternetLink"/>
          </w:rPr>
          <w:t>99.1</w:t>
        </w:r>
      </w:hyperlink>
      <w:r>
        <w:rPr>
          <w:rFonts w:ascii="Times New Roman;Times;serif" w:hAnsi="Times New Roman;Times;serif"/>
          <w:color w:val="000000"/>
          <w:sz w:val="20"/>
        </w:rPr>
        <w:t>          </w:t>
      </w:r>
      <w:hyperlink w:anchor="exhibit_99-1.htm">
        <w:r>
          <w:rPr>
            <w:rStyle w:val="InternetLink"/>
          </w:rPr>
          <w:t>Letter, dated July 31, 2026, from Somekh Chaikin, Member Firm of KPMG International, addressed to the U.S. Securities and Exchange Commission.</w:t>
        </w:r>
      </w:hyperlink>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554"/>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TextBody"/>
        <w:bidi w:val="0"/>
        <w:spacing w:lineRule="auto" w:line="300" w:before="0" w:after="0"/>
        <w:ind w:left="0" w:right="36" w:hanging="0"/>
        <w:jc w:val="both"/>
        <w:rPr>
          <w:rFonts w:ascii="Times New Roman;Times;serif" w:hAnsi="Times New Roman;Times;serif"/>
          <w:b/>
          <w:color w:val="000000"/>
          <w:sz w:val="20"/>
        </w:rPr>
      </w:pPr>
      <w:r>
        <w:rPr>
          <w:rFonts w:ascii="Times New Roman;Times;serif" w:hAnsi="Times New Roman;Times;serif"/>
          <w:b/>
          <w:color w:val="000000"/>
          <w:sz w:val="20"/>
        </w:rPr>
        <w:t>Nexxen International Ltd.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93097fced2044811bd5851f14811c1e5"/>
      <w:bookmarkStart w:id="5" w:name="z93097fced2044811bd5851f14811c1e5"/>
      <w:bookmarkEnd w:id="5"/>
    </w:p>
    <w:tbl>
      <w:tblPr>
        <w:tblW w:w="1855" w:type="dxa"/>
        <w:jc w:val="left"/>
        <w:tblInd w:w="0" w:type="dxa"/>
        <w:tblLayout w:type="fixed"/>
        <w:tblCellMar>
          <w:top w:w="0" w:type="dxa"/>
          <w:left w:w="0" w:type="dxa"/>
          <w:bottom w:w="0" w:type="dxa"/>
          <w:right w:w="0" w:type="dxa"/>
        </w:tblCellMar>
      </w:tblPr>
      <w:tblGrid>
        <w:gridCol w:w="380"/>
        <w:gridCol w:w="1475"/>
      </w:tblGrid>
      <w:tr>
        <w:trPr/>
        <w:tc>
          <w:tcPr>
            <w:tcW w:w="380" w:type="dxa"/>
            <w:tcBorders/>
            <w:vAlign w:val="center"/>
          </w:tcPr>
          <w:p>
            <w:pPr>
              <w:pStyle w:val="TableContents"/>
              <w:bidi w:val="0"/>
              <w:spacing w:before="0" w:after="283"/>
              <w:jc w:val="left"/>
              <w:rPr/>
            </w:pPr>
            <w:r>
              <w:rPr/>
              <w:t>By:</w:t>
            </w:r>
          </w:p>
        </w:tc>
        <w:tc>
          <w:tcPr>
            <w:tcW w:w="1475" w:type="dxa"/>
            <w:tcBorders/>
            <w:vAlign w:val="center"/>
          </w:tcPr>
          <w:p>
            <w:pPr>
              <w:pStyle w:val="TableContents"/>
              <w:bidi w:val="0"/>
              <w:spacing w:before="0" w:after="0"/>
              <w:jc w:val="left"/>
              <w:rPr>
                <w:u w:val="single"/>
              </w:rPr>
            </w:pPr>
            <w:r>
              <w:rPr>
                <w:u w:val="single"/>
              </w:rPr>
              <w:t>/S/ SAGI NIRI</w:t>
            </w:r>
          </w:p>
        </w:tc>
      </w:tr>
    </w:tbl>
    <w:p>
      <w:pPr>
        <w:pStyle w:val="Normal"/>
        <w:bidi w:val="0"/>
        <w:spacing w:before="0" w:after="0"/>
        <w:jc w:val="left"/>
        <w:rPr>
          <w:sz w:val="4"/>
          <w:szCs w:val="4"/>
        </w:rPr>
      </w:pPr>
      <w:r>
        <w:rPr>
          <w:sz w:val="4"/>
          <w:szCs w:val="4"/>
        </w:rPr>
      </w:r>
      <w:bookmarkStart w:id="6" w:name="z76205521290e435092eb425ba5eea81b"/>
      <w:bookmarkStart w:id="7" w:name="z76205521290e435092eb425ba5eea81b"/>
      <w:bookmarkEnd w:id="7"/>
    </w:p>
    <w:tbl>
      <w:tblPr>
        <w:tblW w:w="1555" w:type="dxa"/>
        <w:jc w:val="left"/>
        <w:tblInd w:w="0" w:type="dxa"/>
        <w:tblLayout w:type="fixed"/>
        <w:tblCellMar>
          <w:top w:w="0" w:type="dxa"/>
          <w:left w:w="0" w:type="dxa"/>
          <w:bottom w:w="0" w:type="dxa"/>
          <w:right w:w="0" w:type="dxa"/>
        </w:tblCellMar>
      </w:tblPr>
      <w:tblGrid>
        <w:gridCol w:w="665"/>
        <w:gridCol w:w="890"/>
      </w:tblGrid>
      <w:tr>
        <w:trPr/>
        <w:tc>
          <w:tcPr>
            <w:tcW w:w="665" w:type="dxa"/>
            <w:tcBorders/>
            <w:vAlign w:val="center"/>
          </w:tcPr>
          <w:p>
            <w:pPr>
              <w:pStyle w:val="TableContents"/>
              <w:bidi w:val="0"/>
              <w:spacing w:before="0" w:after="283"/>
              <w:jc w:val="left"/>
              <w:rPr/>
            </w:pPr>
            <w:r>
              <w:rPr/>
              <w:t>Name:</w:t>
            </w:r>
          </w:p>
        </w:tc>
        <w:tc>
          <w:tcPr>
            <w:tcW w:w="890" w:type="dxa"/>
            <w:tcBorders/>
            <w:vAlign w:val="center"/>
          </w:tcPr>
          <w:p>
            <w:pPr>
              <w:pStyle w:val="TableContents"/>
              <w:bidi w:val="0"/>
              <w:spacing w:before="0" w:after="0"/>
              <w:jc w:val="left"/>
              <w:rPr/>
            </w:pPr>
            <w:r>
              <w:rPr/>
              <w:t>Sagi Niri</w:t>
            </w:r>
          </w:p>
        </w:tc>
      </w:tr>
    </w:tbl>
    <w:p>
      <w:pPr>
        <w:pStyle w:val="Normal"/>
        <w:bidi w:val="0"/>
        <w:spacing w:before="0" w:after="0"/>
        <w:jc w:val="left"/>
        <w:rPr>
          <w:sz w:val="4"/>
          <w:szCs w:val="4"/>
        </w:rPr>
      </w:pPr>
      <w:r>
        <w:rPr>
          <w:sz w:val="4"/>
          <w:szCs w:val="4"/>
        </w:rPr>
      </w:r>
      <w:bookmarkStart w:id="8" w:name="z027d6c0576f04b6290b2830a615636e0"/>
      <w:bookmarkStart w:id="9" w:name="z027d6c0576f04b6290b2830a615636e0"/>
      <w:bookmarkEnd w:id="9"/>
    </w:p>
    <w:tbl>
      <w:tblPr>
        <w:tblW w:w="2755" w:type="dxa"/>
        <w:jc w:val="left"/>
        <w:tblInd w:w="0" w:type="dxa"/>
        <w:tblLayout w:type="fixed"/>
        <w:tblCellMar>
          <w:top w:w="0" w:type="dxa"/>
          <w:left w:w="0" w:type="dxa"/>
          <w:bottom w:w="0" w:type="dxa"/>
          <w:right w:w="0" w:type="dxa"/>
        </w:tblCellMar>
      </w:tblPr>
      <w:tblGrid>
        <w:gridCol w:w="530"/>
        <w:gridCol w:w="2225"/>
      </w:tblGrid>
      <w:tr>
        <w:trPr/>
        <w:tc>
          <w:tcPr>
            <w:tcW w:w="53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lineRule="auto" w:line="300" w:before="0" w:after="0"/>
        <w:jc w:val="left"/>
        <w:rPr/>
      </w:pPr>
      <w:r>
        <w:rPr/>
      </w:r>
    </w:p>
    <w:p>
      <w:pPr>
        <w:pStyle w:val="TextBody"/>
        <w:bidi w:val="0"/>
        <w:spacing w:lineRule="auto" w:line="300" w:before="0" w:after="0"/>
        <w:ind w:left="0" w:right="0" w:firstLine="724"/>
        <w:jc w:val="both"/>
        <w:rPr>
          <w:rFonts w:ascii="Times New Roman;Times;serif" w:hAnsi="Times New Roman;Times;serif"/>
          <w:color w:val="000000"/>
          <w:sz w:val="20"/>
        </w:rPr>
      </w:pPr>
      <w:r>
        <w:rPr>
          <w:rFonts w:ascii="Times New Roman;Times;serif" w:hAnsi="Times New Roman;Times;serif"/>
          <w:color w:val="000000"/>
          <w:sz w:val="20"/>
        </w:rPr>
        <w:t>Date: August 3, 2026</w:t>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0" w:name="exhibit_99-1.htm"/>
      <w:bookmarkStart w:id="11" w:name="ksexhibit_991"/>
      <w:bookmarkStart w:id="12" w:name="exhibit_99-1.htm"/>
      <w:bookmarkStart w:id="13" w:name="ksexhibit_991"/>
      <w:bookmarkEnd w:id="12"/>
      <w:bookmarkEnd w:id="1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July 31,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Securities and Exchange Commission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were previously principal accountants for Nexxen International Ltd. and, under the date of March 4, 2026, we reported on the consolidated financial statements of Nexxen International Ltd as of and for the years ended December 31, 2025 and 2024. On July 29, 2026, we were dismissed.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We have read Nexxen International Ltd’s statements included in the Report of Foreign Private Issuer on Form 6-K of Nexxen International Ltd. dated July 31, 2026, and we agree with such statements except we are not in a position to agree or disagree with Nexxen International Ltd‘s statement that the change was recommended by the audit committee of the board of directors and approved by the board of directors.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9812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495300"/>
                    </a:xfrm>
                    <a:prstGeom prst="rect">
                      <a:avLst/>
                    </a:prstGeom>
                  </pic:spPr>
                </pic:pic>
              </a:graphicData>
            </a:graphic>
          </wp:inline>
        </w:drawing>
      </w:r>
      <w:r>
        <w:rPr>
          <w:color w:val="000000"/>
        </w:rPr>
        <w:t xml:space="preserve"> </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Somekh Chaikin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Member Firm of KPMG International</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Tel Aviv, Israel</w:t>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794</Words>
  <Characters>4217</Characters>
  <CharactersWithSpaces>4994</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