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Stibbs Christopher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0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Nexxen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82 YIGAL ALON STREET</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TEL AVIV</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L3</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6789124</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45,678</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Shai Shulman</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03/23/2026</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127000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SECTION 16 AND FORM 144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Nexxen International Ltd.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8" w:lineRule="exact"/>
        <w:rPr>
          <w:sz w:val="20"/>
          <w:szCs w:val="20"/>
          <w:color w:val="auto"/>
        </w:rPr>
      </w:pPr>
    </w:p>
    <w:p>
      <w:pPr>
        <w:jc w:val="both"/>
        <w:ind w:left="1260" w:hanging="54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w:t>
      </w:r>
      <w:r>
        <w:rPr>
          <w:rFonts w:ascii="Times New Roman" w:cs="Times New Roman" w:eastAsia="Times New Roman" w:hAnsi="Times New Roman"/>
          <w:sz w:val="33"/>
          <w:szCs w:val="33"/>
          <w:color w:val="auto"/>
          <w:vertAlign w:val="superscript"/>
        </w:rPr>
        <w:t>st</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/s/ Christopher John Stibbs</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Christopher John Stibbs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521"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4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42" w:lineRule="exact"/>
        <w:rPr>
          <w:sz w:val="20"/>
          <w:szCs w:val="20"/>
          <w:color w:val="auto"/>
        </w:rPr>
      </w:pPr>
    </w:p>
    <w:p>
      <w:pPr>
        <w:ind w:left="480" w:hanging="480"/>
        <w:spacing w:after="0"/>
        <w:tabs>
          <w:tab w:leader="none" w:pos="4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Allison Zolot, Chief Legal Officer of the Company</w:t>
      </w:r>
    </w:p>
    <w:p>
      <w:pPr>
        <w:spacing w:after="0" w:line="30"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Shai Shulman, Senior Corporate Counsel of the Company</w:t>
      </w:r>
    </w:p>
    <w:p>
      <w:pPr>
        <w:spacing w:after="0" w:line="10"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979"/>
      </w:cols>
      <w:pgMar w:left="480" w:top="6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23326" TargetMode="External"/><Relationship Id="rId11"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2026-03-24T08:26:49Z</dcterms:created>
  <dcterms:modified xsi:type="dcterms:W3CDTF">2026-03-24T08:26:49Z</dcterms:modified>
</cp:coreProperties>
</file>