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March 5, 2025, the Company issued an announcement titled “Nexxen Reports Fourth Quarter and Full Year 2024 Financial Results”,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consolidated statements of financial position as of December 31, 2024 and December 31, 2023 (audited), (ii) consolidated statements of operation and other comprehensive income (loss) for the twelve months ended December 31, 2024, 2023 and 2022 (audited), (iii) consolidated statements of changes in equity (audited), and (iv) consolidated statements of cash flows for the twelve months ended December 31, 2024, 2023, and 2022 (audited), and the accompanying notes thereto, included in the press release attached as Exhibit 99.1 to this Report on Form 6-K are hereby incorporated by reference into the Company’s Registration Statements on Form S-8 (File No. 333-258731 and File No. 333-277709)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Company announcement dated March 5, 2025, “Nexxen Reports Fourth Quarter and Full Year 2024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Sagi Niri</w:t>
            </w:r>
          </w:p>
        </w:tc>
        <w:tc>
          <w:tcPr>
            <w:tcW w:w="832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Pr>
          <w:p>
            <w:pPr>
              <w:spacing w:after="0"/>
              <w:rPr>
                <w:sz w:val="17"/>
                <w:szCs w:val="17"/>
                <w:color w:val="auto"/>
              </w:rPr>
            </w:pPr>
          </w:p>
        </w:tc>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Sagi Niri</w:t>
            </w:r>
          </w:p>
        </w:tc>
        <w:tc>
          <w:tcPr>
            <w:tcW w:w="832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832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Date: March 5, 2025</w:t>
            </w:r>
          </w:p>
        </w:tc>
        <w:tc>
          <w:tcPr>
            <w:tcW w:w="8320" w:type="dxa"/>
            <w:vAlign w:val="bottom"/>
          </w:tcPr>
          <w:p>
            <w:pPr>
              <w:spacing w:after="0"/>
              <w:rPr>
                <w:sz w:val="24"/>
                <w:szCs w:val="24"/>
                <w:color w:val="auto"/>
              </w:rPr>
            </w:pPr>
          </w:p>
        </w:tc>
      </w:tr>
      <w:tr>
        <w:trPr>
          <w:trHeight w:val="425"/>
        </w:trPr>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Company announcement dated March 5, 2025, “Nexxen Reports Fourth Quarter and Full Year 2024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Nexxen Reports Fourth Quarter and Full Year 2024 Financial Results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Generated all-time quarterly Contribution ex-TAC, programmatic revenue and CTV revenue records in Q4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2024, achieving 16%, 15%, and 86% year-over-year growth, respectively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Attained 38% year-over-year Adjusted EBITDA growth in Q4 2024, while expanding Adjusted EBITDA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Margin as a percentage of Contribution ex-TAC to 42% from 35%</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Simplified the Company’s stock exchange and trading structure in Q1 2025, streamlining to a single U.S.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Ordinary Share listing</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Nexxen’s Board of Directors approved the launch of a new $50 million Ordinary Share repurchase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program following the completion of the currently ongoing program</w:t>
      </w:r>
    </w:p>
    <w:p>
      <w:pPr>
        <w:spacing w:after="0" w:line="23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NEW YORK, March 5, 2025 -- Nexxen International Ltd. (NASDAQ: NEXN) (“Nexxen” or the “Company”), a global, flexible advertising technology platform with deep expertise in data and advanced TV, announced today its financial results for the three and twelve months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Q4 2024 Financial Highlights</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quarterly record Contribution ex-TAC of $105.2 million, up 16%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quarterly record programmatic revenue of $98.7 million, up 15%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quarterly record CTV revenue of $37.0 million, up 86%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increased to 38% of programmatic revenue from 23% in Q4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reflected 88% of revenue compared to 90% in Q4 2023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Second-highest all-time quarterly Adjusted EBITDA of $44.3 million, up 38% year-over-year, representing a 42% Adjusted EBITDA Margin on a Contribution ex-TAC basis (39% on a revenue basis), compared to 35% (33% on a revenue basis) in Q4 2023</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increased to 75% of programmatic revenue from 67% in Q4 2023</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$187.1 million cash and cash equivalents as of December 31, 2024, alongside $90 million undrawn on the Company’s revolving credit facility and no long-term debt following the full repayment of the Company’s $100 million outstanding principal long-term debt balance in April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2024 Financial Highlights</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annual record Contribution ex-TAC of $343.5 million, up 9%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annual record programmatic revenue of $324.5 million, up 9%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annual record CTV revenue of $113.8 million, up 33%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increased to 35% of programmatic revenue from 29% in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reflected 89% of revenue compared to 90% in 2023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$114.6 million, up 38% year-over-year, representing a 33% Adjusted EBITDA Margin on a Contribution ex-TAC basis (31% on a revenue basis), compared to 26% (25% on a revenue basis) in 2023</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increased to 72% of programmatic revenue from 69% in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retention rate of 102% compared to 73%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jc w:val="both"/>
        <w:spacing w:after="0" w:line="271" w:lineRule="auto"/>
        <w:rPr>
          <w:sz w:val="20"/>
          <w:szCs w:val="20"/>
          <w:color w:val="auto"/>
        </w:rPr>
      </w:pPr>
      <w:r>
        <w:rPr>
          <w:rFonts w:ascii="Times New Roman" w:cs="Times New Roman" w:eastAsia="Times New Roman" w:hAnsi="Times New Roman"/>
          <w:sz w:val="18"/>
          <w:szCs w:val="18"/>
          <w:color w:val="auto"/>
        </w:rPr>
        <w:t>“Q4 capped off a strong and transformational year highlighted by all-time Contribution ex-TAC, programmatic revenue and CTV revenue records,” said Ofer Druker, Chief Executive Officer of Nexxen. “Our success validates that the upgrades we made in 2024 to our data capabilities, CTV and omnichannel capabilities, brand recognition and messaging are fueling better execution and resonating with customers and the market. As a result, partners across the industry are increasingly allocating more spending towards Nexxen and adopting multiple solutions within our end-to-end ecosystem.”</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Druker added, “In the first half of 2025, and throughout the year, we will take major strides in our AI efforts, specifically launching several new Generative AI capabilities focused on two primary objectives - simplifying the use of our vertically integrated offerings and significantly enhancing their performance. As the owner of a robust technology stack, and through years-long and continued investments in machine learning, we believe the time is now for Generative AI to align with our strategic vision. Over time, we expect this promising turnkey innovation to streamline our customers’ experiences, enable more-precise audience targeting and measurement capabilities, advance our solutions across planning, activation, optimization and monetization, generate stronger returns for our customers and accelerate our growth opportunity. We also look forward to expanding our U.S. investor presence after simplifying our trading structure, which we believe will significantly benefit Nexxen and its shareholders over the long-term.”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provides the following financial guidance for full year 2025:</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Contribution ex-TAC of approximately $380 million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programmatic revenue to reflect approximately 90% of full year 2025 revenue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Adjusted EBITDA of approximately $125 million</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to continue increasing the Company’s investments in technology, data and Generative AI in 2025, with a focus on enhancing Nexxen’s DSP and data platform capabilities, which is expected to augment the Company’s ability to attract higher levels of customer spending and new partners, and further Nexxen’s competitive advantages.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the Company to increase its CTV and data licensing revenue in 2025 compared to 2024.</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management expects the Company’s sales and marketing expenses, general and administrative expenses, and depreciation and amortization to reflect similar percentages of Contribution ex-TAC as in 2024 and expects research and development expenses to increase as a percentage of Contribution ex-TAC.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Highlights</w:t>
      </w:r>
    </w:p>
    <w:p>
      <w:pPr>
        <w:spacing w:after="0" w:line="243"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Simplified Nexxen’s trading structure by exchanging the Company’s Nasdaq-listed ADRs for New Nasdaq-listed Ordinary Shares, voluntarily delisting from AIM and streamlining to a single U.S. Ordinary Share listing on Nasdaq in Q1 2025. The Company expects these changes will enhance Nexxen’s positioning with U.S. investors, drive greater trading volume and increase the Company’s eligibility for inclusion in select stock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DSP added 112 new actively spending first-time advertiser customers in Q4 2024 across travel, entertainment and other verticals. This figure included 18 new enterprise self-service advertiser customers and three new independent agencies adopting Nexxen’s self-service software solutions.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Onboarded 73 new supply partners across several verticals and formats in Q4 2024, highlighted by some of the industry’s most well-known free ad-supported streaming services.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attracted and onboarded top talent across our employee base, particularly within the Company’s sales management, positioning Nexxen strongly for future growth.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Deal Marketplace within Nexxen DSP, enabling advertisers to better discover, visualize and activate preferred deals across CTV, online video and display, reducing time spent planning and executing campaigns. Through Nexxen’s Deal Marketplace, advertisers can gain transparency into a wide range of premium supply inventory, leveraging advanced audience-targeting capabilities.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Updates</w:t>
      </w:r>
    </w:p>
    <w:p>
      <w:pPr>
        <w:spacing w:after="0" w:line="243"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4,493,721 Ordinary Shares during Q4 2024 (2,246,861 Ordinary Shares as adjusted for the Company’s reverse-split) at an average price of 347.48 pence (694.96 pence on a post-reverse-split adjusted basis), reflecting a total investment of £15.6 million or $20.1 million.</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Nexxen repurchased 18,275,064 Ordinary Shares (9,137,532 Ordinary Shares on a post-reverse-split adjusted basis), reflecting a total investment of £48.2 million or $61.7 million.</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the Company launched a series of share repurchase programs, through December 31, 2024, the Company repurchased 37,909,216 Ordinary Shares (18,954,608 Ordinary Shares on a post-reverse-split adjusted basis), or 24.5% of shares outstanding, reflecting a total investment of £125.9 million or $157.3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2024, the Company launched a new $50 million Ordinary Share repurchase program which is scheduled to continue until the earlier of May 19, 2025, or completion, following the expiration of its previous $50 million Ordinary Share repurchase program on November 1, 2024. Until the Company’s AIM-delisting on February 14, 2025, the Ordinary Share repurchases under the program were executed on the AIM Market, and beginning February 18, 2025, the Ordinary Share repurchases are now executed on Nasdaq. The program does not obligate Nexxen to repurchase any particular amount of Ordinary Shares and the program may be suspended, modified or discontinued at any time at the Company’s discretion, subject to applicable law.</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$38.4 million remaining on its Ordinary Share repurchase program authorization.</w:t>
      </w:r>
    </w:p>
    <w:p>
      <w:pPr>
        <w:spacing w:after="0" w:line="21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Nexxen’s Board of Directors Approved the Launch of a New $50 Million Ordinary Share Repurchase Program Following Completion of the Currently Ongoing Program</w:t>
      </w:r>
    </w:p>
    <w:p>
      <w:pPr>
        <w:spacing w:after="0" w:line="186" w:lineRule="exact"/>
        <w:rPr>
          <w:sz w:val="20"/>
          <w:szCs w:val="20"/>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2025, Nexxen’s Board of Directors approved the launch of a new $50 million Ordinary Share repurchase program, which is scheduled to begin on the earlier of May 19, 2025, or completion of the currently ongoing program, and continue until the earlier of November 19, 2025, or completion. The launch of the new Ordinary Share repurchase program is subject to compliance with a creditor notice period required under Israeli law.</w:t>
      </w:r>
    </w:p>
    <w:p>
      <w:pPr>
        <w:spacing w:after="0" w:line="2"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Nexxen’s Board of Directors intends to continue to evaluate implementing additional share repurchase programs following the completion of the ongoing and impending programs, subject to then current market conditions and necessary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and Twelve Months Ended December 31, 2024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Pr>
          <w:p>
            <w:pPr>
              <w:spacing w:after="0"/>
              <w:rPr>
                <w:sz w:val="22"/>
                <w:szCs w:val="22"/>
                <w:color w:val="auto"/>
              </w:rPr>
            </w:pPr>
          </w:p>
        </w:tc>
        <w:tc>
          <w:tcPr>
            <w:tcW w:w="342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10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112.3</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Revenues</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 on a gross</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Pr>
          <w:p>
            <w:pPr>
              <w:spacing w:after="0"/>
              <w:rPr>
                <w:sz w:val="18"/>
                <w:szCs w:val="1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profit basis</w:t>
            </w:r>
          </w:p>
        </w:tc>
        <w:tc>
          <w:tcPr>
            <w:tcW w:w="134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105.2</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90.5</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ex-TAC basis</w:t>
            </w:r>
          </w:p>
        </w:tc>
        <w:tc>
          <w:tcPr>
            <w:tcW w:w="134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Non-IFRS diluted earnings per share (*)</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0.48</w:t>
            </w:r>
          </w:p>
        </w:tc>
        <w:tc>
          <w:tcPr>
            <w:tcW w:w="74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8"/>
        <w:spacing w:after="0" w:line="297" w:lineRule="auto"/>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split and the changes in par value from NIS 0.01 to NIS 0.02 effected on February 14, 2025. See also Note 1a of the Company’s annual report filed on Form 20-F on March 5, 2025 for details.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2024 Financial Results Webcast and Conference Call Details</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March 5, 2025, at 6:00 AM PT / 9:00 AM ET / 2:00 PM GMT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9187123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Nasdaq (NEXN).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full year 2025 and beyond; anticipated benefits of Nexxen’s strategic transactions and commercial partnerships; anticipated features and benefits of Nexxen’s products and service offerings; Nexxen’s positioning for accelerated growth and continued future growth in both the U.S. and international markets in 2025 and beyond; Nexxen’s medium- to long-term prospects; management’s belief that Nexxen is well-positioned to benefit from future industry growth trends and Company-specific catalysts; the Company’s expectations with respect to CTV revenue growth and data licensing revenue growth; the Company’s expectations with respect to its sales and marketing expenses, general and administrative expenses, and depreciation and amortization as a percentage of Contribution ex-TAC in 2025 and its expectations with respect to its research and development expenses as a percentage of Contribution ex-TAC in 2025; the Company’s plans with respect to its cash reserves as well as ongoing and future share repurchase programs; the anticipated impact of the Company’s Generative AI initiative and its ability to contribute to the Company’s growth; the anticipated benefits of the Company’s ADR exchange and termination, reverse share split, AIM delisting and single U.S. Ordinary Share listing on Nasdaq;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global conflicts and war, including the war and hostilities between Israel and Hamas, Hezbollah and Iran,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March 6, 2024.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included as part of this press release.</w:t>
      </w:r>
    </w:p>
    <w:p>
      <w:pPr>
        <w:spacing w:after="0" w:line="186" w:lineRule="exact"/>
        <w:rPr>
          <w:sz w:val="20"/>
          <w:szCs w:val="20"/>
          <w:color w:val="auto"/>
        </w:rPr>
      </w:pPr>
    </w:p>
    <w:p>
      <w:pPr>
        <w:jc w:val="both"/>
        <w:ind w:left="620" w:hanging="234"/>
        <w:spacing w:after="0" w:line="255"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the Performance media cost (“traffic acquisition costs” or “TAC”). Performance media cost represents the costs of purchases of impressions from publishers on a cost-per-thousand impression basis in our non-core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(loss)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foreign currency translation for subsidiary sold reclassified to profit and loss, tax expenses (benefit), financial expenses (income), net, depreciation and amortization, stock-based compensation expenses, other expenses, net, acquisition related costs, restructuring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96"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on a Contribution ex-TAC basis.</w:t>
      </w:r>
    </w:p>
    <w:p>
      <w:pPr>
        <w:spacing w:after="0" w:line="225"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(loss) excluding acquisition related costs, amortization of acquired intangibles, restructuring, delisting related one-time costs, stock-based compensation expenses, and other expenses, net, and also considers the tax effects of non-IFRS adjustments. In periods in which we have non-IFRS net income, non-IFRS weighted-average shares outstanding used to calculate non-IFRS earnings per share includes the impact of potentially dilutive shares. Potentially dilutive shares consist of stock options, restricted stock awards, restricted stock units and performance stock units, each computed using the treasury stock method. We believe non-IFRS earnings per share is useful to investors in evaluating our ongoing operational performance and our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 (loss).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(Loss) to Adjusted EBITDA</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240" w:type="dxa"/>
            <w:vAlign w:val="bottom"/>
          </w:tcPr>
          <w:p>
            <w:pPr>
              <w:spacing w:after="0"/>
              <w:rPr>
                <w:sz w:val="24"/>
                <w:szCs w:val="24"/>
                <w:color w:val="auto"/>
              </w:rPr>
            </w:pPr>
          </w:p>
        </w:tc>
        <w:tc>
          <w:tcPr>
            <w:tcW w:w="29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35,402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(18,127)</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foreign operation</w:t>
            </w:r>
          </w:p>
        </w:tc>
        <w:tc>
          <w:tcPr>
            <w:tcW w:w="134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for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sold reclassified to profit and</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expenses (benefit)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78,285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44,269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32,042</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114,555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83,210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44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240" w:type="dxa"/>
            <w:vAlign w:val="bottom"/>
          </w:tcPr>
          <w:p>
            <w:pPr>
              <w:spacing w:after="0"/>
              <w:rPr>
                <w:sz w:val="24"/>
                <w:szCs w:val="24"/>
                <w:color w:val="auto"/>
              </w:rPr>
            </w:pPr>
          </w:p>
        </w:tc>
        <w:tc>
          <w:tcPr>
            <w:tcW w:w="29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112,284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95,916</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365,477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331,993</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(17,068)</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(17,886)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(61,020)</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(62,270)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(12,139)</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(13,682)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(47,372)</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(50,825)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83,077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64,348</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257,085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218,898</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11"/>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12,139</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13,682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47,372</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50,825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17,068</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61,020</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(5,392)</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(17,810)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90,524</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343,501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314,183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446"/>
        </w:trPr>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Non-IFRS Net Income</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240" w:type="dxa"/>
            <w:vAlign w:val="bottom"/>
          </w:tcPr>
          <w:p>
            <w:pPr>
              <w:spacing w:after="0"/>
              <w:rPr>
                <w:sz w:val="24"/>
                <w:szCs w:val="24"/>
                <w:color w:val="auto"/>
              </w:rPr>
            </w:pPr>
          </w:p>
        </w:tc>
        <w:tc>
          <w:tcPr>
            <w:tcW w:w="29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3,227</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35,437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(21,487)</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42,952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6"/>
                <w:szCs w:val="16"/>
                <w:color w:val="auto"/>
              </w:rPr>
              <w:t xml:space="preserve">Tax effect of non-IFRS adjustments </w:t>
            </w:r>
            <w:r>
              <w:rPr>
                <w:rFonts w:ascii="Times New Roman" w:cs="Times New Roman" w:eastAsia="Times New Roman" w:hAnsi="Times New Roman"/>
                <w:sz w:val="26"/>
                <w:szCs w:val="26"/>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(11,153)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32,355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14,458</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32,213</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 (in millions) (2) (*)</w:t>
            </w: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0.48</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0.20</w:t>
            </w:r>
          </w:p>
        </w:tc>
        <w:tc>
          <w:tcPr>
            <w:tcW w:w="240" w:type="dxa"/>
            <w:vAlign w:val="bottom"/>
          </w:tcPr>
          <w:p>
            <w:pPr>
              <w:spacing w:after="0"/>
              <w:rPr>
                <w:sz w:val="18"/>
                <w:szCs w:val="18"/>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143%</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0.93</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0.44</w:t>
            </w:r>
          </w:p>
        </w:tc>
        <w:tc>
          <w:tcPr>
            <w:tcW w:w="2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38"/>
        </w:trPr>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 USD) (*)</w:t>
            </w: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(loss) and non-IFRS net income</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(loss) per share</w:t>
      </w:r>
    </w:p>
    <w:p>
      <w:pPr>
        <w:spacing w:after="0" w:line="195" w:lineRule="exact"/>
        <w:rPr>
          <w:sz w:val="20"/>
          <w:szCs w:val="20"/>
          <w:color w:val="auto"/>
        </w:rPr>
      </w:pPr>
    </w:p>
    <w:p>
      <w:pPr>
        <w:ind w:right="20" w:firstLine="8"/>
        <w:spacing w:after="0" w:line="282"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split and the changes in par value from NIS 0.01 to NIS 0.02 effected on February 14, 2025. See also Note 1a of the Company’s annual report filed on Form 20-F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384"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7"/>
        </w:trPr>
        <w:tc>
          <w:tcPr>
            <w:tcW w:w="740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r>
      <w:tr>
        <w:trPr>
          <w:trHeight w:val="230"/>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201,973</w:t>
            </w:r>
          </w:p>
        </w:tc>
      </w:tr>
      <w:tr>
        <w:trPr>
          <w:trHeight w:val="229"/>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8,293</w:t>
            </w:r>
          </w:p>
        </w:tc>
      </w:tr>
      <w:tr>
        <w:trPr>
          <w:trHeight w:val="237"/>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w:t>
            </w:r>
          </w:p>
        </w:tc>
      </w:tr>
      <w:tr>
        <w:trPr>
          <w:trHeight w:val="216"/>
        </w:trPr>
        <w:tc>
          <w:tcPr>
            <w:tcW w:w="74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451,584</w:t>
            </w:r>
          </w:p>
        </w:tc>
      </w:tr>
      <w:tr>
        <w:trPr>
          <w:trHeight w:val="216"/>
        </w:trPr>
        <w:tc>
          <w:tcPr>
            <w:tcW w:w="74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21,401</w:t>
            </w: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31,900</w:t>
            </w:r>
          </w:p>
        </w:tc>
      </w:tr>
      <w:tr>
        <w:trPr>
          <w:trHeight w:val="229"/>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362,000</w:t>
            </w: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12,393</w:t>
            </w:r>
          </w:p>
        </w:tc>
      </w:tr>
      <w:tr>
        <w:trPr>
          <w:trHeight w:val="229"/>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453,219</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840,513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904,803</w:t>
            </w:r>
          </w:p>
        </w:tc>
      </w:tr>
      <w:tr>
        <w:trPr>
          <w:trHeight w:val="21"/>
        </w:trPr>
        <w:tc>
          <w:tcPr>
            <w:tcW w:w="7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12,106</w:t>
            </w: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183,296</w:t>
            </w:r>
          </w:p>
        </w:tc>
      </w:tr>
      <w:tr>
        <w:trPr>
          <w:trHeight w:val="230"/>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29,098</w:t>
            </w:r>
          </w:p>
        </w:tc>
      </w:tr>
      <w:tr>
        <w:trPr>
          <w:trHeight w:val="236"/>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4,937</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229,437</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24,955</w:t>
            </w: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99,072</w:t>
            </w:r>
          </w:p>
        </w:tc>
      </w:tr>
      <w:tr>
        <w:trPr>
          <w:trHeight w:val="229"/>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131,818</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309,659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361,255</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410,563</w:t>
            </w:r>
          </w:p>
        </w:tc>
      </w:tr>
      <w:tr>
        <w:trPr>
          <w:trHeight w:val="229"/>
        </w:trPr>
        <w:tc>
          <w:tcPr>
            <w:tcW w:w="7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135,009</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543,548</w:t>
            </w:r>
          </w:p>
        </w:tc>
      </w:tr>
      <w:tr>
        <w:trPr>
          <w:trHeight w:val="216"/>
        </w:trPr>
        <w:tc>
          <w:tcPr>
            <w:tcW w:w="7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840,513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904,803</w:t>
            </w:r>
          </w:p>
        </w:tc>
      </w:tr>
      <w:tr>
        <w:trPr>
          <w:trHeight w:val="20"/>
        </w:trPr>
        <w:tc>
          <w:tcPr>
            <w:tcW w:w="7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 AND OTHER COMPREHENSIVE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6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365,477</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331,993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61,020</w:t>
            </w:r>
          </w:p>
        </w:tc>
        <w:tc>
          <w:tcPr>
            <w:tcW w:w="14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62,270</w:t>
            </w: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60,745</w:t>
            </w: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w:t>
            </w:r>
          </w:p>
        </w:tc>
        <w:tc>
          <w:tcPr>
            <w:tcW w:w="10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49,992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49,684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33,659</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112,227</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105,914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89,953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41,237</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51,051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68,005</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58,676</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78,285</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286,699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229,753</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(16,976)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(8,192)</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net</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38,532</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42,425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19,688</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for the year</w:t>
            </w: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35,437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22,737</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for subsidiary sold reclassified to profit and loss</w:t>
            </w: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year</w:t>
            </w: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3,360</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35,402</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(18,127)</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16,238</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 (in USD)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(in USD) (*)</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8"/>
        <w:spacing w:after="0" w:line="282"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split and the changes in par value from NIS 0.01 to NIS 0.02 effected on February 14, 2025. See also Note 1a of the Company’s annual report filed on Form 20-F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320" w:type="dxa"/>
            <w:vAlign w:val="bottom"/>
            <w:gridSpan w:val="2"/>
          </w:tcPr>
          <w:p>
            <w:pPr>
              <w:spacing w:after="0"/>
              <w:rPr>
                <w:sz w:val="24"/>
                <w:szCs w:val="24"/>
                <w:color w:val="auto"/>
              </w:rPr>
            </w:pPr>
          </w:p>
        </w:tc>
        <w:tc>
          <w:tcPr>
            <w:tcW w:w="132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437,476</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133,759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572,375</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22,737</w:t>
            </w: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16,238</w:t>
            </w:r>
          </w:p>
        </w:tc>
      </w:tr>
      <w:tr>
        <w:trPr>
          <w:trHeight w:val="229"/>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(86,202)</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(86,252)</w:t>
            </w: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47,049</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47,049</w:t>
            </w:r>
          </w:p>
        </w:tc>
      </w:tr>
      <w:tr>
        <w:trPr>
          <w:trHeight w:val="23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400,507</w:t>
            </w:r>
          </w:p>
        </w:tc>
        <w:tc>
          <w:tcPr>
            <w:tcW w:w="1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156,496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551,615</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r>
      <w:tr>
        <w:trPr>
          <w:trHeight w:val="23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for subsidiary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(18,127)</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(9,314)</w:t>
            </w: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r>
      <w:tr>
        <w:trPr>
          <w:trHeight w:val="236"/>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r>
      <w:tr>
        <w:trPr>
          <w:trHeight w:val="417"/>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30"/>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4"/>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35,437</w:t>
            </w: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(61,690)</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(61,739)</w:t>
            </w: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12,510</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12,510</w:t>
            </w:r>
          </w:p>
        </w:tc>
      </w:tr>
      <w:tr>
        <w:trPr>
          <w:trHeight w:val="237"/>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362,507</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530,854</w:t>
            </w:r>
          </w:p>
        </w:tc>
      </w:tr>
      <w:tr>
        <w:trPr>
          <w:trHeight w:val="406"/>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year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35,437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58,676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78,285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disposals of fixed and intangible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Loss on leases modification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and revaluation on sale of business unit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50,505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19,688</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(14,458)</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30,603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57,050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57,671</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(100,145)</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(8,721)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37"/>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(8,486)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150,835</w:t>
            </w:r>
          </w:p>
        </w:tc>
        <w:tc>
          <w:tcPr>
            <w:tcW w:w="10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60,741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83,008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(6,433)</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(15,779)</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(15,126)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sale of business unit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subsidiaries, net of cash acquired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(195,084)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(21,212)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(232,994)</w:t>
            </w:r>
          </w:p>
        </w:tc>
        <w:tc>
          <w:tcPr>
            <w:tcW w:w="0" w:type="dxa"/>
            <w:vAlign w:val="bottom"/>
          </w:tcPr>
          <w:p>
            <w:pPr>
              <w:spacing w:after="0"/>
              <w:rPr>
                <w:sz w:val="1"/>
                <w:szCs w:val="1"/>
                <w:color w:val="auto"/>
              </w:rPr>
            </w:pPr>
          </w:p>
        </w:tc>
      </w:tr>
      <w:tr>
        <w:trPr>
          <w:trHeight w:val="23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(60,735)</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(86,048)</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(17,262)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Receipt of long-term debt, net of transaction cost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98,917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(174,744)</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(26,547)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(45,121)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17,234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234,308</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217,500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367,717</w:t>
            </w: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FLUCTUATIONS ON CASH AND CASH</w:t>
            </w:r>
          </w:p>
        </w:tc>
        <w:tc>
          <w:tcPr>
            <w:tcW w:w="1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w:t>
            </w:r>
          </w:p>
        </w:tc>
        <w:tc>
          <w:tcPr>
            <w:tcW w:w="14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60" w:type="dxa"/>
            <w:vAlign w:val="bottom"/>
            <w:gridSpan w:val="2"/>
            <w:vMerge w:val="continue"/>
            <w:shd w:val="clear" w:color="auto" w:fill="CCEEFF"/>
          </w:tcPr>
          <w:p>
            <w:pPr>
              <w:spacing w:after="0"/>
              <w:rPr>
                <w:sz w:val="21"/>
                <w:szCs w:val="21"/>
                <w:color w:val="auto"/>
              </w:rPr>
            </w:pPr>
          </w:p>
        </w:tc>
        <w:tc>
          <w:tcPr>
            <w:tcW w:w="1440" w:type="dxa"/>
            <w:vAlign w:val="bottom"/>
            <w:gridSpan w:val="3"/>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YEAR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10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w:t>
            </w:r>
          </w:p>
        </w:tc>
        <w:tc>
          <w:tcPr>
            <w:tcW w:w="0" w:type="dxa"/>
            <w:vAlign w:val="bottom"/>
          </w:tcPr>
          <w:p>
            <w:pPr>
              <w:spacing w:after="0"/>
              <w:rPr>
                <w:sz w:val="1"/>
                <w:szCs w:val="1"/>
                <w:color w:val="auto"/>
              </w:rPr>
            </w:pPr>
          </w:p>
        </w:tc>
      </w:tr>
      <w:tr>
        <w:trPr>
          <w:trHeight w:val="304"/>
        </w:trPr>
        <w:tc>
          <w:tcPr>
            <w:tcW w:w="73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o"/>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o"/>
      <w:numFmt w:val="bullet"/>
      <w:start w:val="1"/>
    </w:lvl>
  </w:abstractNum>
  <w:abstractNum w:abstractNumId="6">
    <w:nsid w:val="216231B"/>
    <w:multiLevelType w:val="hybridMultilevel"/>
    <w:lvl w:ilvl="0">
      <w:lvlJc w:val="left"/>
      <w:lvlText w:val="o"/>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o"/>
      <w:numFmt w:val="bullet"/>
      <w:start w:val="1"/>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2025-03-05T06:50:05Z</dcterms:created>
  <dcterms:modified xsi:type="dcterms:W3CDTF">2025-03-05T06:50:05Z</dcterms:modified>
</cp:coreProperties>
</file>