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March 4, 2026, the Company issued an announcement titled “Nexxen Reports Fourth Quarter and Full Year 2025 Financial Results”, a copy of which is attached as Exhibit 99.1 to this Form 6-K.</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IFRS financial information contained in the (i) consolidated statements of financial position as of December 31, 2025 and 2024 (audited), (ii) consolidated statements of operation and other comprehensive income (loss) for the twelve months ended December 31, 2025, 2024 and 2023 (audited),</w:t>
      </w:r>
    </w:p>
    <w:p>
      <w:pPr>
        <w:jc w:val="both"/>
        <w:ind w:firstLine="8"/>
        <w:spacing w:after="0" w:line="269"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equity (audited), and (iv) consolidated statements of cash flows for the twelve months ended December 31, 2025, 2024 and 2023 (audited) included in the press release attached as Exhibit 99.1 to this Report on Form 6-K are hereby incorporated by reference into the Company’s Registration Statements on Form S-8 (File No. 333-258731, File No. 333-277709 and File No. 333-285552) and shall be deemed to be a part thereof from the date on which this report is filed, to the extent not superseded by documents or reports subsequently filed or furnished.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99.1Company announcement dated March 4, 2026, “Nexxen Reports Fourth Quarter and Full Year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4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Sagi Niri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Sagi Niri</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34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43"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Company announcement dated March 4, 2026, “Nexxen Reports Fourth Quarter and Full Year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60"/>
          </w:cols>
          <w:pgMar w:left="320" w:top="347" w:right="1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Nexxen Reports Fourth Quarter and Full Year 2025 Financial Results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Expanded into AI-resilient growth channels through enhanced mobile in-app capabilities and the release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Nexxen’s industry-first programmatic Smart TV home screen ad activation solution, which is now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integrated with V (formerly VIDAA) and The Trade Desk’s Ventura Ecosystem</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Launched expanded V partnership, strengthening Nexxen’s competitive advantages and differentiation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while enhancing the Company’s long-term CTV and data revenue opportunities</w:t>
      </w:r>
    </w:p>
    <w:p>
      <w:pPr>
        <w:spacing w:after="0" w:line="232" w:lineRule="exact"/>
        <w:rPr>
          <w:sz w:val="20"/>
          <w:szCs w:val="20"/>
          <w:color w:val="auto"/>
        </w:rPr>
      </w:pPr>
    </w:p>
    <w:p>
      <w:pPr>
        <w:jc w:val="center"/>
        <w:ind w:left="340" w:right="1800"/>
        <w:spacing w:after="0" w:line="283" w:lineRule="auto"/>
        <w:rPr>
          <w:sz w:val="20"/>
          <w:szCs w:val="20"/>
          <w:color w:val="auto"/>
        </w:rPr>
      </w:pPr>
      <w:r>
        <w:rPr>
          <w:rFonts w:ascii="Times New Roman" w:cs="Times New Roman" w:eastAsia="Times New Roman" w:hAnsi="Times New Roman"/>
          <w:sz w:val="18"/>
          <w:szCs w:val="18"/>
          <w:i w:val="1"/>
          <w:iCs w:val="1"/>
          <w:color w:val="auto"/>
        </w:rPr>
        <w:t>Guides to 2026 Contribution ex-TAC and programmatic revenue growth of approximately 8% and 10% at the midpoint; Q1 2026 Contribution ex-TAC and programmatic revenue to date have exceeded management’s initial expectations</w:t>
      </w:r>
    </w:p>
    <w:p>
      <w:pPr>
        <w:spacing w:after="0" w:line="17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NEW YORK, March 4, 2026 -- Nexxen International Ltd. (NASDAQ: NEXN) (“Nexxen” or the “Company”), a global, flexible advertising technology platform with deep expertise in data and advanced TV, announced today its financial results for the three and twelve months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Q4 2025 Financial Highlights</w:t>
      </w:r>
    </w:p>
    <w:p>
      <w:pPr>
        <w:spacing w:after="0" w:line="24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of $97.8 million, down 7% year-over-year (-1% excluding political)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of $94.3 million, down 4% year-over-year (+2% excluding political)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of $30.1 million, down 19% year-over-year (-12% excluding political)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reflected 32% of programmatic revenue, compared to 38% in Q4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increased to 94% of revenue, from 88% in Q4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$33.9 million, down 23% year-over-year, representing a 35% Adjusted EBITDA Margin on a Contribution ex-TAC basis (34% on a revenue basis), compared to 42% on a Contribution ex-TAC basis (39% on a revenue basis) in Q4 2024</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represented 72% of programmatic revenue, compared to 75% in Q4 2024</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$133.3 million in cash and cash equivalents, no long-term debt and $50 million available under the Company’s undrawn revolving credit facility as of December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2025 Financial Highlights</w:t>
      </w:r>
    </w:p>
    <w:p>
      <w:pPr>
        <w:spacing w:after="0" w:line="24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Contribution ex-TAC of $353.1 million, up 3% year-over-year (+6% excluding political)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programmatic revenue of $340.6 million, up 5% year-over-year (+8% excluding political)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of $109.4 million, down 4% year-over-year (relatively flat excluding political)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reflected 32% of programmatic revenue, compared to 35%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increased to 93% of revenue, from 89% in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$115.1 million, up 1% year-over-year, representing a 33% Adjusted EBITDA Margin on a Contribution ex-TAC basis (32% on a revenue basis), compared to 33% on a Contribution ex-TAC basis (31% on a revenue basis) in 2024</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represented 71% of programmatic revenue, compared to 72%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retention rate of 92%, compared to 102%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per active customer increased to approximately $563,000, from approximately $526,000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jc w:val="both"/>
        <w:spacing w:after="0" w:line="274" w:lineRule="auto"/>
        <w:rPr>
          <w:sz w:val="20"/>
          <w:szCs w:val="20"/>
          <w:color w:val="auto"/>
        </w:rPr>
      </w:pPr>
      <w:r>
        <w:rPr>
          <w:rFonts w:ascii="Times New Roman" w:cs="Times New Roman" w:eastAsia="Times New Roman" w:hAnsi="Times New Roman"/>
          <w:sz w:val="18"/>
          <w:szCs w:val="18"/>
          <w:color w:val="auto"/>
        </w:rPr>
        <w:t>“We met our updated 2025 guidance and are off to a strong start in 2026, with Contribution ex-TAC and programmatic revenue exceeding our initial expectations to this point in Q1, driven by broad-based strength across our programmatic business lines,” said Ofer Druker, Chief Executive Officer of Nexxen.</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Mr. Druker added, “Looking ahead, we believe we are well-positioned for success in 2026 and beyond. Our increased focus on our enterprise DSP and supporting product ecosystem, V partnership, growing adoption of our industry-first programmatic Smart TV home screen solution and our expansion into mobile in-app are strengthening the Company’s long-term growth opportunities while creating a more durable and diverse revenue base resilient to AI disruption. Nexxen’s Smart TV home screen solution represents a powerful differentiator that is expected to drive meaningful value for both sides of the ecosystem and has been adopted by strategic partners including V and The Trade Desk, with others expected to follow. We believe our additional nexAI launches and sales initiatives in 2026 will help accelerate enterprise adoption, and we are ready to capitalize on the vast opportunities ahead.”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provides the following financial guidance for full year 2026:</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in the range of $375 - $390 million (approximately 8% year-over-year growth at the midpoint)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in the range of $367 - $381 million (approximately 10% year-over-year growth at the midpoint)</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 the range of $122 - $132 million (approximately 10% year-over-year growth at the midpoint, representing a 33% Adjusted EBITDA Margin at the midpoint of Contribution ex-TAC and Adjusted EBITDA guidance)</w:t>
      </w:r>
    </w:p>
    <w:p>
      <w:pPr>
        <w:spacing w:after="0" w:line="194"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impact from reduced spending by one DSP customer, as noted in Q3 2025 earnings, is expected to remain isolated to Q4 2025 and not affect 2026 performance. The customer has increased its year-over-year spend with Nexxen to date in Q1 2026.</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and programmatic revenue to date in Q1 2026 have exceeded management’s initial expectations, driven by broad-based strength across Nexxen’s programmatic business lines.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expects growth in CTV, self-service and data products revenue in 2026, supported by the Company’s traditional sales efforts, its exclusive TV data and media partnership with V and growing adoption of its programmatic Smart TV home screen solution.</w:t>
      </w:r>
    </w:p>
    <w:p>
      <w:pPr>
        <w:jc w:val="both"/>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2026, management intends to continue shifting sales, product and commercial resources toward Nexxen’s DSP and data platform, while increasing nexAI investments. These initiatives are expected to drive deeper enterprise adoption, expand end-to-end revenue opportunities and reduce reliance on third-party DSP partners.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also expects to continue driving adoption of Nexxen’s programmatic Smart TV home screen solution and to pursue new and expanded scaled mobile in-app partnerships in 2026 to strengthen resilience to AI-driven industry disruption and support long-term growth.</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evaluating strategic options for its non-core, non-programmatic business lines, following weakness in Q4 2025 that has persisted in Q1 2026.</w:t>
      </w:r>
    </w:p>
    <w:p>
      <w:pPr>
        <w:jc w:val="both"/>
        <w:ind w:left="66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are expected to decrease modestly as a percentage of Contribution ex-TAC in 2026 compared to 2025. Research and development expenses are expected to remain relatively consistent as a percentage of Contribution ex-TAC, depreciation and amortization and sales and marketing expenses are expected to decrease slightly as percentages of Contribution ex-TAC and general and administrative expenses are expected to increase as a percentage of Contribution ex-TAC. Stock-based compensation expenses are expected to rise modestly in 2026 compared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Q4 2025 Operational Highlights and Recent Developments</w:t>
      </w:r>
    </w:p>
    <w:p>
      <w:pPr>
        <w:spacing w:after="0" w:line="243" w:lineRule="exact"/>
        <w:rPr>
          <w:sz w:val="20"/>
          <w:szCs w:val="20"/>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extended and expanded partnership with V, granting Nexxen exclusive third-party video and native display monetization rights across V’s North American CTV media, along with exclusive global access to V’s automatic content recognition (“ACR”) data through at least 2029. This collaboration is attracting significant interest across both sides of the advertising ecosystem and is expected to strengthen Nexxen’s TV data and media differentiation, supporting long-term growth across its enterprise, data and CTV revenue streams.</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adoption of Nexxen’s industry-first solution for programmatic Smart TV home screen ad activation, which initially provided direct access to scaled native inventory across Hisense and other V-powered CTV OEM brands via the Nexxen DSP and SSP. V adopted the solution as Nexxen’s first CTV operating system partner and it is now integrated across V-powered devices globally, generating positive early results.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Partnered with The Trade Desk and V in Q1 2026 to bring programmatic access to scaled native inventory from V-powered CTV OEM brands within The Trade Desk’s Ventura Ecosystem, leveraging Nexxen’s programmatic Smart TV home screen ad activation solution.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data licensing agreement with Yahoo DSP in Q4 2025, making Nexxen’s ACR audience segments available for targeting on its platform in the U.S., U.K. and Germany, expanding the Company’s TV data partnerships with major DSPs, which includes other leading platforms like The Trade Desk and StackAdapt.</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Nexxen Sports in Q4 2025, a solution suite combining premium live sports inventory with data-driven audience insights, targeting, retargeting and dynamic creative. The offering is designed to help brands drive stronger engagement and performance during marquee live sports events and year-round live sports programming, while enabling advertisers to reach consumers beyond the live window. It also positions Nexxen to capitalize on what is expected to be the biggest live sports advertising year on record, featuring major events like the 2026 FIFA World Cup.</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general availability of Curated Marketplace in Q4 2025, enabling customers to package, activate and monetize premium data-driven private marketplace (“PMP”) deals. The solution is expected to improve advertiser outcomes and drive incremental publisher demand on Nexxen’s platform.</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measurement and optimization capabilities to Nexxen Health in Q4 2025, including the first-to-market “Auto Allocate” feature in the Nexxen DSP powered by PurpleLab, enabling health and pharmaceutical advertisers to optimize spend in real-time using real-world health signals and verified outcome data, improving targeting accuracy and full-funnel campaign performance. The innovation is expected to further solidify Nexxen as a leading health and pharmaceutical DSP.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 and Capital Allocation Updates</w:t>
      </w:r>
    </w:p>
    <w:p>
      <w:pPr>
        <w:spacing w:after="0" w:line="24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repurchased 1,440,000 shares during Q4 2025 at an average price of $7.47, investing approximately $10.8 million.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1, 2022, when the Company launched a series of share repurchase programs, through December 31, 2025, Nexxen repurchased 29,794,967 shares, or approximately 38.5% of shares outstanding, investing approximately $258.2 million.</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2026, the Company had approximately $2.0 million remaining under its current $20 million repurchase authorization and has received approval to launch a new repurchase program for up to $40 million, scheduled to begin upon completion of the current program.</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deploying $20 million of its previously announced additional $35 million investment in V during Q3 2025, the Company is expected to invest the remaining $15 million in Q3 2026. Upon full deployment, the Company will have invested a total of $60 million, representing an approximately 6% equity ownership stake in V.</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is continuing to explore strategic opportunities focused on accelerating programmatic revenue growth and enhancing and expanding its data, CTV and mobile in-app capabilities.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Three and Twelve Months Ended December 31, 2025 ($ 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20" w:type="dxa"/>
            <w:vAlign w:val="bottom"/>
          </w:tcPr>
          <w:p>
            <w:pPr>
              <w:spacing w:after="0"/>
              <w:rPr>
                <w:sz w:val="22"/>
                <w:szCs w:val="22"/>
                <w:color w:val="auto"/>
              </w:rPr>
            </w:pPr>
          </w:p>
        </w:tc>
        <w:tc>
          <w:tcPr>
            <w:tcW w:w="344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Highlights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100.7</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112.3</w:t>
            </w:r>
          </w:p>
        </w:tc>
        <w:tc>
          <w:tcPr>
            <w:tcW w:w="7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Programmatic revenue</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94.3</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98.7</w:t>
            </w: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340.6</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7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margin on a gross profit basis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7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0.37</w:t>
            </w: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0.41</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Highlights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97.8</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105.2</w:t>
            </w:r>
          </w:p>
        </w:tc>
        <w:tc>
          <w:tcPr>
            <w:tcW w:w="7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353.1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44.3</w:t>
            </w:r>
          </w:p>
        </w:tc>
        <w:tc>
          <w:tcPr>
            <w:tcW w:w="7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on a</w:t>
            </w: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ex-TAC basis</w:t>
            </w:r>
          </w:p>
        </w:tc>
        <w:tc>
          <w:tcPr>
            <w:tcW w:w="1360" w:type="dxa"/>
            <w:vAlign w:val="bottom"/>
            <w:gridSpan w:val="2"/>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Non-IFRS net income</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w:t>
            </w: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59.9</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Non-IFRS diluted earnings per share</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0.33</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0.48</w:t>
            </w:r>
          </w:p>
        </w:tc>
        <w:tc>
          <w:tcPr>
            <w:tcW w:w="7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07"/>
        </w:trPr>
        <w:tc>
          <w:tcPr>
            <w:tcW w:w="3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2025 Financial Results Webcast and Conference Call Details</w:t>
      </w:r>
    </w:p>
    <w:p>
      <w:pPr>
        <w:spacing w:after="0" w:line="2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w:t>
      </w:r>
      <w:r>
        <w:rPr>
          <w:rFonts w:ascii="Times New Roman" w:cs="Times New Roman" w:eastAsia="Times New Roman" w:hAnsi="Times New Roman"/>
          <w:sz w:val="18"/>
          <w:szCs w:val="18"/>
          <w:color w:val="auto"/>
        </w:rPr>
        <w:t>March 4, 2026, at 9:00 AM ET</w:t>
      </w:r>
    </w:p>
    <w:p>
      <w:pPr>
        <w:spacing w:after="0" w:line="31"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A live and archived webcast can be accessed from the Events and Presentations section of Nexxen’s Investor Relations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https://investors.nexxen.com/</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Participant Dial-In Numbers:</w:t>
      </w:r>
    </w:p>
    <w:p>
      <w:pPr>
        <w:spacing w:after="0" w:line="9"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Canada Toll-Free Dial-In Number: (888) 596-4144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Toll-Free Dial-In Number: +44 800 260 6470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Dial-In Number: +1 (646) 968-2525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2738966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 xml:space="preserve">Nexxen is headquartered in Israel, maintains offices throughout the United States, Canada, Europe and Asia-Pacific, and is traded on Nasdaq (NEXN). 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forward-looking statements within the meaning of Section 27A of the United States Securities Act of 1933, as amended, and Section 21E of the United States Securities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anticipated financial results for Q1 and full year 2026 and beyond; anticipated benefits of Nexxen’s strategic transactions and commercial partnerships; anticipated features and benefits of Nexxen’s products and service offerings, including anticipated benefits relating to nexAI; anticipated industry adoption of Nexxen’s programmatic Smart TV home screen ad activation solution; Nexxen’s positioning for accelerated growth and continued future growth; Nexxen’s medium- to long-term prospects; management’s belief that Nexxen is well-positioned to benefit from future industry growth trends and Company-specific catalysts; the Company’s plans with respect to its cash reserves as well as ongoing and future share repurchase programs and further investment in V (formerly VIDAA); the Company’s plans to pursue strategic opportunities; anticipated benefits from the renewed and expanded strategic partnership with V, as well as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including, but not limited to, the following: negative global economic conditions, including risks related to tariff impacts or policy shifts (including trade negotiations or enforcement actions) that could materially affect market sentiment, consumer behavior and advertising demand; global conflicts and war, including the war between the United States, Israel and Iran, and the war and hostilities between Israel and Hamas, Hezbollah and the Houthis in Yemen, and how those conditions may adversely impact Nexxen’s business, customers and the markets in which Nexxen competes; changes in industry trends; and other negative developments in Nexxen’s business or unfavorable legislative or regulatory developments.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filed with the U.S. Securities and Exchange Commission (www.sec.gov) on Form 20-F. Any forward-looking statements made by Nexxen in this press release speak only as of the date of this press release, and Nexxen does not intend to update these forward-looking statements after the date of this press release, except as required by law.</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Non-IFRS Financial Information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our IFRS results, we review certain non-IFRS financial measures to help us evaluate our business, measure our performance, identify trends affecting our business, establish budgets, measure the effectiveness of investments in technology and development and sales and marketing, and assess our operational efficiencies. These non-IFRS measures include Contribution ex-TAC, Adjusted EBITDA, Adjusted EBITDA Margin, Non-IFRS Net Income and Non-IFRS Earnings per Share, each of which is discussed below.</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non-IFRS financial measures are not intended to be considered in isolation from, as substitutes for, or as superior to the corresponding financial measures prepared in accordance with IFRS. You are encouraged to evaluate these adjustments and review the reconciliation of these non-IFRS financial measures to their most comparable IFRS measures and the reasons we consider them appropriate. It is important to note that the particular items we exclude from, or include in, our non-IFRS financial measures may differ from the items excluded from, or included in, similar non-IFRS financial measures used by other companies. See "Reconciliation of Revenue to Contribution ex-TAC," "Reconciliation of Total Comprehensive Income to Adjusted EBITDA," and "Reconciliation of Net Income to Non-IFRS Net Income," included as part of this press release.</w:t>
      </w:r>
    </w:p>
    <w:p>
      <w:pPr>
        <w:spacing w:after="0" w:line="184" w:lineRule="exact"/>
        <w:rPr>
          <w:sz w:val="20"/>
          <w:szCs w:val="20"/>
          <w:color w:val="auto"/>
        </w:rPr>
      </w:pPr>
    </w:p>
    <w:p>
      <w:pPr>
        <w:jc w:val="both"/>
        <w:ind w:left="620" w:hanging="234"/>
        <w:spacing w:after="0" w:line="255"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ex-TAC</w:t>
      </w:r>
      <w:r>
        <w:rPr>
          <w:rFonts w:ascii="Times New Roman" w:cs="Times New Roman" w:eastAsia="Times New Roman" w:hAnsi="Times New Roman"/>
          <w:sz w:val="18"/>
          <w:szCs w:val="18"/>
          <w:color w:val="auto"/>
        </w:rPr>
        <w:t>: Contribution ex-TAC for Nexxen is defined as gross profit plus depreciation and amortization attributable to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cost of revenue (exclusive of depreciation and amortization) minus Performance (non-programmatic) media costs (“traffic acquisition costs” or “TAC”). Performance (non-programmatic) media costs represent the costs of purchases of impressions from publishers on a cost-per-thousand impression basis in our non-core, non-programmatic Performance activities. 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believe Contribution ex-TAC is a useful measure in assessing the performance of Nexxen because it facilitates a consistent comparison against our core business without considering the impact of traffic acquisition costs related to revenue reported on a gross basis.</w:t>
      </w:r>
    </w:p>
    <w:p>
      <w:pPr>
        <w:spacing w:after="0" w:line="198" w:lineRule="exact"/>
        <w:rPr>
          <w:rFonts w:ascii="Times New Roman" w:cs="Times New Roman" w:eastAsia="Times New Roman" w:hAnsi="Times New Roman"/>
          <w:sz w:val="18"/>
          <w:szCs w:val="18"/>
          <w:color w:val="auto"/>
        </w:rPr>
      </w:pPr>
    </w:p>
    <w:p>
      <w:pPr>
        <w:jc w:val="both"/>
        <w:ind w:left="620" w:hanging="234"/>
        <w:spacing w:after="0" w:line="25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We define Adjusted EBITDA for Nexxen as total comprehensive income for the period adjusted for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differences for foreign operations, tax expenses (benefit), financial expenses (income), net, depreciation and amortization, stock-based compensation expenses, other expenses, net, and delisting related one-time costs. Adjusted EBITDA is included in the press release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82" w:lineRule="exact"/>
        <w:rPr>
          <w:rFonts w:ascii="Times New Roman" w:cs="Times New Roman" w:eastAsia="Times New Roman" w:hAnsi="Times New Roman"/>
          <w:sz w:val="18"/>
          <w:szCs w:val="18"/>
          <w:color w:val="auto"/>
        </w:rPr>
      </w:pPr>
    </w:p>
    <w:p>
      <w:pPr>
        <w:ind w:left="620" w:hanging="23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Contribution ex-TAC.</w:t>
      </w:r>
    </w:p>
    <w:p>
      <w:pPr>
        <w:spacing w:after="0" w:line="238" w:lineRule="exact"/>
        <w:rPr>
          <w:rFonts w:ascii="Times New Roman" w:cs="Times New Roman" w:eastAsia="Times New Roman" w:hAnsi="Times New Roman"/>
          <w:sz w:val="18"/>
          <w:szCs w:val="18"/>
          <w:color w:val="auto"/>
        </w:rPr>
      </w:pPr>
    </w:p>
    <w:p>
      <w:pPr>
        <w:jc w:val="both"/>
        <w:ind w:left="620" w:hanging="234"/>
        <w:spacing w:after="0" w:line="253"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Non-IFRS Net Income and Non-IFRS Earnings per Share: </w:t>
      </w:r>
      <w:r>
        <w:rPr>
          <w:rFonts w:ascii="Times New Roman" w:cs="Times New Roman" w:eastAsia="Times New Roman" w:hAnsi="Times New Roman"/>
          <w:sz w:val="18"/>
          <w:szCs w:val="18"/>
          <w:color w:val="auto"/>
        </w:rPr>
        <w:t>We define non-IFRS earnings per share as non-IFRS net income divided by non-IFRS weighted-average shares outstanding. Non-IFRS net income is equal to net income excluding amortization of acquired intangibles, delisting related one-time costs, stock-based compensation expenses, and other expenses, net, and also considers the tax effects of non-IFRS adjustments. In periods in which we have non-IFRS net income, non-IFRS weighted-average shares outstanding used to calculate non-IFRS earnings per share include the impact of potentially dilutive shares. Potentially dilutive shares consist of stock options, restricted stock awards, restricted stock units and performance stock units, each computed using the treasury stock method. We believe non-IFRS earnings per share is useful to investors for evaluating our ongoing operational performance and trends on a per share basis and also facilitates comparison of our financial results on a per share basis with other companies, many of which present a similar non-IFRS measure. However, a potential limitation of our use of non-IFRS earnings per share is that other companies may define non-IFRS earnings per share differently, which may make comparison difficult. This measure may also exclude expenses that may have a material impact on our reported financial results. Non-IFRS earnings per share is a performance measure and should not be used as a measure of liquidity. Because of these limitations, we also consider the comparable IFRS measure of net income.</w:t>
      </w:r>
    </w:p>
    <w:p>
      <w:pPr>
        <w:spacing w:after="0" w:line="19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do not provide a reconciliation of forward-looking non-IFRS financial metrics because reconciling information is not available without an unreasonable effort, such as attempting to make assumptions that cannot reasonably be made on a forward-looking basis to determine the corresponding IFRS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8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Comprehensive Income to Adjusted EBITDA</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10"/>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gridSpan w:val="11"/>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10,411</w:t>
            </w:r>
          </w:p>
        </w:tc>
        <w:tc>
          <w:tcPr>
            <w:tcW w:w="18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(55</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27,867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35,402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1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11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(2,824)</w:t>
            </w:r>
          </w:p>
        </w:tc>
        <w:tc>
          <w:tcPr>
            <w:tcW w:w="20" w:type="dxa"/>
            <w:vAlign w:val="bottom"/>
            <w:shd w:val="clear" w:color="auto" w:fill="CCEEFF"/>
          </w:tcPr>
          <w:p>
            <w:pPr>
              <w:spacing w:after="0"/>
              <w:rPr>
                <w:sz w:val="18"/>
                <w:szCs w:val="18"/>
                <w:color w:val="auto"/>
              </w:rPr>
            </w:pPr>
          </w:p>
        </w:tc>
        <w:tc>
          <w:tcPr>
            <w:tcW w:w="11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foreign operations</w:t>
            </w:r>
          </w:p>
        </w:tc>
        <w:tc>
          <w:tcPr>
            <w:tcW w:w="112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4"/>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expenses (benefit)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3,448</w:t>
            </w:r>
          </w:p>
        </w:tc>
        <w:tc>
          <w:tcPr>
            <w:tcW w:w="180" w:type="dxa"/>
            <w:vAlign w:val="bottom"/>
          </w:tcPr>
          <w:p>
            <w:pPr>
              <w:spacing w:after="0"/>
              <w:rPr>
                <w:sz w:val="19"/>
                <w:szCs w:val="19"/>
                <w:color w:val="auto"/>
              </w:rPr>
            </w:pPr>
          </w:p>
        </w:tc>
        <w:tc>
          <w:tcPr>
            <w:tcW w:w="13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1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(4,810)</w:t>
            </w: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16,256</w:t>
            </w:r>
          </w:p>
        </w:tc>
        <w:tc>
          <w:tcPr>
            <w:tcW w:w="18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14,621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63,124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58,676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4,595</w:t>
            </w: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18,048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11,460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expenses, net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33,874</w:t>
            </w:r>
          </w:p>
        </w:tc>
        <w:tc>
          <w:tcPr>
            <w:tcW w:w="18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44,269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115,141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114,555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437"/>
        </w:trPr>
        <w:tc>
          <w:tcPr>
            <w:tcW w:w="4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to Contribution ex-TAC</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gridSpan w:val="14"/>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40" w:type="dxa"/>
            <w:vAlign w:val="bottom"/>
          </w:tcPr>
          <w:p>
            <w:pPr>
              <w:spacing w:after="0"/>
              <w:rPr>
                <w:sz w:val="24"/>
                <w:szCs w:val="24"/>
                <w:color w:val="auto"/>
              </w:rPr>
            </w:pPr>
          </w:p>
        </w:tc>
        <w:tc>
          <w:tcPr>
            <w:tcW w:w="2880" w:type="dxa"/>
            <w:vAlign w:val="bottom"/>
            <w:gridSpan w:val="11"/>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14"/>
            <w:vMerge w:val="continue"/>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 w:type="dxa"/>
            <w:vAlign w:val="bottom"/>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100,711</w:t>
            </w:r>
          </w:p>
        </w:tc>
        <w:tc>
          <w:tcPr>
            <w:tcW w:w="13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112,284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9"/>
                <w:szCs w:val="19"/>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364,780</w:t>
            </w:r>
          </w:p>
        </w:tc>
        <w:tc>
          <w:tcPr>
            <w:tcW w:w="20" w:type="dxa"/>
            <w:vAlign w:val="bottom"/>
          </w:tcPr>
          <w:p>
            <w:pPr>
              <w:spacing w:after="0"/>
              <w:rPr>
                <w:sz w:val="19"/>
                <w:szCs w:val="19"/>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365,477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w:t>
            </w:r>
          </w:p>
        </w:tc>
        <w:tc>
          <w:tcPr>
            <w:tcW w:w="130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(15,461)</w:t>
            </w:r>
          </w:p>
        </w:tc>
        <w:tc>
          <w:tcPr>
            <w:tcW w:w="132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(54,979)</w:t>
            </w:r>
          </w:p>
        </w:tc>
        <w:tc>
          <w:tcPr>
            <w:tcW w:w="20" w:type="dxa"/>
            <w:vAlign w:val="bottom"/>
            <w:shd w:val="clear" w:color="auto" w:fill="CCEEFF"/>
          </w:tcPr>
          <w:p>
            <w:pPr>
              <w:spacing w:after="0"/>
              <w:rPr>
                <w:sz w:val="18"/>
                <w:szCs w:val="18"/>
                <w:color w:val="auto"/>
              </w:rPr>
            </w:pPr>
          </w:p>
        </w:tc>
        <w:tc>
          <w:tcPr>
            <w:tcW w:w="130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gridSpan w:val="4"/>
            <w:vMerge w:val="continue"/>
            <w:shd w:val="clear" w:color="auto" w:fill="CCEEFF"/>
          </w:tcPr>
          <w:p>
            <w:pPr>
              <w:spacing w:after="0"/>
              <w:rPr>
                <w:sz w:val="20"/>
                <w:szCs w:val="20"/>
                <w:color w:val="auto"/>
              </w:rPr>
            </w:pPr>
          </w:p>
        </w:tc>
        <w:tc>
          <w:tcPr>
            <w:tcW w:w="1320" w:type="dxa"/>
            <w:vAlign w:val="bottom"/>
            <w:gridSpan w:val="5"/>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(13,143)</w:t>
            </w:r>
          </w:p>
        </w:tc>
        <w:tc>
          <w:tcPr>
            <w:tcW w:w="132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(12,139)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(50,912)</w:t>
            </w:r>
          </w:p>
        </w:tc>
        <w:tc>
          <w:tcPr>
            <w:tcW w:w="20" w:type="dxa"/>
            <w:vAlign w:val="bottom"/>
          </w:tcPr>
          <w:p>
            <w:pPr>
              <w:spacing w:after="0"/>
              <w:rPr>
                <w:sz w:val="18"/>
                <w:szCs w:val="18"/>
                <w:color w:val="auto"/>
              </w:rPr>
            </w:pPr>
          </w:p>
        </w:tc>
        <w:tc>
          <w:tcPr>
            <w:tcW w:w="13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(47,372)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w:t>
            </w:r>
          </w:p>
        </w:tc>
        <w:tc>
          <w:tcPr>
            <w:tcW w:w="1300" w:type="dxa"/>
            <w:vAlign w:val="bottom"/>
            <w:gridSpan w:val="4"/>
            <w:vMerge w:val="continue"/>
          </w:tcPr>
          <w:p>
            <w:pPr>
              <w:spacing w:after="0"/>
              <w:rPr>
                <w:sz w:val="20"/>
                <w:szCs w:val="20"/>
                <w:color w:val="auto"/>
              </w:rPr>
            </w:pPr>
          </w:p>
        </w:tc>
        <w:tc>
          <w:tcPr>
            <w:tcW w:w="132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(IFRS)</w:t>
            </w: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72,107</w:t>
            </w:r>
          </w:p>
        </w:tc>
        <w:tc>
          <w:tcPr>
            <w:tcW w:w="13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83,077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258,889</w:t>
            </w:r>
          </w:p>
        </w:tc>
        <w:tc>
          <w:tcPr>
            <w:tcW w:w="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257,085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1"/>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13,143</w:t>
            </w:r>
          </w:p>
        </w:tc>
        <w:tc>
          <w:tcPr>
            <w:tcW w:w="132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12,139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50,912</w:t>
            </w:r>
          </w:p>
        </w:tc>
        <w:tc>
          <w:tcPr>
            <w:tcW w:w="20" w:type="dxa"/>
            <w:vAlign w:val="bottom"/>
          </w:tcPr>
          <w:p>
            <w:pPr>
              <w:spacing w:after="0"/>
              <w:rPr>
                <w:sz w:val="18"/>
                <w:szCs w:val="18"/>
                <w:color w:val="auto"/>
              </w:rPr>
            </w:pPr>
          </w:p>
        </w:tc>
        <w:tc>
          <w:tcPr>
            <w:tcW w:w="13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47,372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w:t>
            </w:r>
          </w:p>
        </w:tc>
        <w:tc>
          <w:tcPr>
            <w:tcW w:w="1300" w:type="dxa"/>
            <w:vAlign w:val="bottom"/>
            <w:gridSpan w:val="4"/>
            <w:vMerge w:val="continue"/>
          </w:tcPr>
          <w:p>
            <w:pPr>
              <w:spacing w:after="0"/>
              <w:rPr>
                <w:sz w:val="20"/>
                <w:szCs w:val="20"/>
                <w:color w:val="auto"/>
              </w:rPr>
            </w:pPr>
          </w:p>
        </w:tc>
        <w:tc>
          <w:tcPr>
            <w:tcW w:w="132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w:t>
            </w:r>
          </w:p>
        </w:tc>
        <w:tc>
          <w:tcPr>
            <w:tcW w:w="13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15,461</w:t>
            </w:r>
          </w:p>
        </w:tc>
        <w:tc>
          <w:tcPr>
            <w:tcW w:w="1320" w:type="dxa"/>
            <w:vAlign w:val="bottom"/>
            <w:gridSpan w:val="5"/>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54,979</w:t>
            </w:r>
          </w:p>
        </w:tc>
        <w:tc>
          <w:tcPr>
            <w:tcW w:w="20" w:type="dxa"/>
            <w:vAlign w:val="bottom"/>
            <w:shd w:val="clear" w:color="auto" w:fill="CCEEFF"/>
          </w:tcPr>
          <w:p>
            <w:pPr>
              <w:spacing w:after="0"/>
              <w:rPr>
                <w:sz w:val="18"/>
                <w:szCs w:val="18"/>
                <w:color w:val="auto"/>
              </w:rPr>
            </w:pPr>
          </w:p>
        </w:tc>
        <w:tc>
          <w:tcPr>
            <w:tcW w:w="13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gridSpan w:val="4"/>
            <w:vMerge w:val="continue"/>
            <w:shd w:val="clear" w:color="auto" w:fill="CCEEFF"/>
          </w:tcPr>
          <w:p>
            <w:pPr>
              <w:spacing w:after="0"/>
              <w:rPr>
                <w:sz w:val="20"/>
                <w:szCs w:val="20"/>
                <w:color w:val="auto"/>
              </w:rPr>
            </w:pPr>
          </w:p>
        </w:tc>
        <w:tc>
          <w:tcPr>
            <w:tcW w:w="1320" w:type="dxa"/>
            <w:vAlign w:val="bottom"/>
            <w:gridSpan w:val="5"/>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media cost</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(2,939)</w:t>
            </w:r>
          </w:p>
        </w:tc>
        <w:tc>
          <w:tcPr>
            <w:tcW w:w="13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(7,122)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(11,651)</w:t>
            </w:r>
          </w:p>
        </w:tc>
        <w:tc>
          <w:tcPr>
            <w:tcW w:w="20" w:type="dxa"/>
            <w:vAlign w:val="bottom"/>
          </w:tcPr>
          <w:p>
            <w:pPr>
              <w:spacing w:after="0"/>
              <w:rPr>
                <w:sz w:val="19"/>
                <w:szCs w:val="19"/>
                <w:color w:val="auto"/>
              </w:rPr>
            </w:pP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(21,976)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 ex-TAC (Non-IFRS)</w:t>
            </w: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97,772</w:t>
            </w:r>
          </w:p>
        </w:tc>
        <w:tc>
          <w:tcPr>
            <w:tcW w:w="13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105,162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353,129</w:t>
            </w:r>
          </w:p>
        </w:tc>
        <w:tc>
          <w:tcPr>
            <w:tcW w:w="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343,501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445"/>
        </w:trPr>
        <w:tc>
          <w:tcPr>
            <w:tcW w:w="4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Non-IFRS Net Income</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10"/>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gridSpan w:val="11"/>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7"/>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10,536</w:t>
            </w:r>
          </w:p>
        </w:tc>
        <w:tc>
          <w:tcPr>
            <w:tcW w:w="18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24,854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25,043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35,437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5,914</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4,595</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expenses, net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effect of Non-IFRS adjustments</w:t>
            </w:r>
          </w:p>
        </w:tc>
        <w:tc>
          <w:tcPr>
            <w:tcW w:w="13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(2,054)</w:t>
            </w:r>
          </w:p>
        </w:tc>
        <w:tc>
          <w:tcPr>
            <w:tcW w:w="1320" w:type="dxa"/>
            <w:vAlign w:val="bottom"/>
            <w:gridSpan w:val="5"/>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(8,375)</w:t>
            </w:r>
          </w:p>
        </w:tc>
        <w:tc>
          <w:tcPr>
            <w:tcW w:w="20" w:type="dxa"/>
            <w:vAlign w:val="bottom"/>
            <w:shd w:val="clear" w:color="auto" w:fill="CCEEFF"/>
          </w:tcPr>
          <w:p>
            <w:pPr>
              <w:spacing w:after="0"/>
              <w:rPr>
                <w:sz w:val="18"/>
                <w:szCs w:val="18"/>
                <w:color w:val="auto"/>
              </w:rPr>
            </w:pPr>
          </w:p>
        </w:tc>
        <w:tc>
          <w:tcPr>
            <w:tcW w:w="13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4"/>
            <w:vMerge w:val="continue"/>
            <w:shd w:val="clear" w:color="auto" w:fill="CCEEFF"/>
          </w:tcPr>
          <w:p>
            <w:pPr>
              <w:spacing w:after="0"/>
              <w:rPr>
                <w:sz w:val="20"/>
                <w:szCs w:val="20"/>
                <w:color w:val="auto"/>
              </w:rPr>
            </w:pPr>
          </w:p>
        </w:tc>
        <w:tc>
          <w:tcPr>
            <w:tcW w:w="1320" w:type="dxa"/>
            <w:vAlign w:val="bottom"/>
            <w:gridSpan w:val="5"/>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net income</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18,991</w:t>
            </w:r>
          </w:p>
        </w:tc>
        <w:tc>
          <w:tcPr>
            <w:tcW w:w="18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32,355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59,852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65,224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Pr>
          <w:p>
            <w:pPr>
              <w:spacing w:after="0"/>
              <w:rPr>
                <w:sz w:val="18"/>
                <w:szCs w:val="18"/>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 (in millions) (2)</w:t>
            </w:r>
          </w:p>
        </w:tc>
        <w:tc>
          <w:tcPr>
            <w:tcW w:w="112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diluted earnings per share</w:t>
            </w: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0.33</w:t>
            </w:r>
          </w:p>
        </w:tc>
        <w:tc>
          <w:tcPr>
            <w:tcW w:w="180" w:type="dxa"/>
            <w:vAlign w:val="bottom"/>
          </w:tcPr>
          <w:p>
            <w:pPr>
              <w:spacing w:after="0"/>
              <w:rPr>
                <w:sz w:val="18"/>
                <w:szCs w:val="18"/>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vMerge w:val="restart"/>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2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8"/>
        </w:trPr>
        <w:tc>
          <w:tcPr>
            <w:tcW w:w="31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12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net income includes the estimated tax impact from the expense items reconciling between net income and non-IFRS net income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earnings per share is computed using the same weighted-average number of shares that are used to compute IFRS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133,308</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187,068</w:t>
            </w: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217,960</w:t>
            </w: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receivables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r>
      <w:tr>
        <w:trPr>
          <w:trHeight w:val="236"/>
        </w:trPr>
        <w:tc>
          <w:tcPr>
            <w:tcW w:w="7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tax assets</w:t>
            </w: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337,334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Fixed assets, net</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15,727</w:t>
            </w:r>
          </w:p>
        </w:tc>
      </w:tr>
      <w:tr>
        <w:trPr>
          <w:trHeight w:val="229"/>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318,376</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336,768</w:t>
            </w:r>
          </w:p>
        </w:tc>
      </w:tr>
      <w:tr>
        <w:trPr>
          <w:trHeight w:val="229"/>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tax assets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17,800</w:t>
            </w: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418,739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427,533</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756,073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14,340</w:t>
            </w: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207,020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228,514</w:t>
            </w: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payables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38,526</w:t>
            </w: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tax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262,030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286,057</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22,857</w:t>
            </w:r>
          </w:p>
        </w:tc>
      </w:tr>
      <w:tr>
        <w:trPr>
          <w:trHeight w:val="236"/>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281,402</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309,659</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capital</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278,510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Accumulated comprehensive income (loss)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r>
      <w:tr>
        <w:trPr>
          <w:trHeight w:val="236"/>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170,446</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474,671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530,854</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756,073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21"/>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7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 AND OTHER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30"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6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364,780</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365,477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331,993</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 shown separately</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54,979</w:t>
            </w:r>
          </w:p>
        </w:tc>
        <w:tc>
          <w:tcPr>
            <w:tcW w:w="1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62,270</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58,059</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49,684</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122,975</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112,227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105,914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51,051</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63,124</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58,676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78,285</w:t>
            </w: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263,636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286,699</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40,821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(16,976)</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(7,010)</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(8,192)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10,200</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expenses (income), net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(4,810)</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 on income</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38,532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(18,984)</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for the year</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(21,487)</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items: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for subsidiary sold reclassified to profit and loss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for the year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3,360</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35,402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(18,127)</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(in USD)</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(in USD)</w:t>
            </w: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20"/>
                <w:szCs w:val="20"/>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r>
      <w:tr>
        <w:trPr>
          <w:trHeight w:val="623"/>
        </w:trPr>
        <w:tc>
          <w:tcPr>
            <w:tcW w:w="5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6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400,507</w:t>
            </w: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156,496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551,615</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for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(21,487)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(21,487)</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37"/>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for subsidiary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3,360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(9,306)</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(9,314)</w:t>
            </w: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19,141</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19,141</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410,563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135,009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543,548</w:t>
            </w:r>
          </w:p>
        </w:tc>
        <w:tc>
          <w:tcPr>
            <w:tcW w:w="0" w:type="dxa"/>
            <w:vAlign w:val="bottom"/>
          </w:tcPr>
          <w:p>
            <w:pPr>
              <w:spacing w:after="0"/>
              <w:rPr>
                <w:sz w:val="1"/>
                <w:szCs w:val="1"/>
                <w:color w:val="auto"/>
              </w:rPr>
            </w:pPr>
          </w:p>
        </w:tc>
      </w:tr>
      <w:tr>
        <w:trPr>
          <w:trHeight w:val="417"/>
        </w:trPr>
        <w:tc>
          <w:tcPr>
            <w:tcW w:w="46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13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410,563</w:t>
            </w: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135,009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543,548</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Profit for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35,437</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35,402</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(61,690)</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(61,739)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12,510</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12,510</w:t>
            </w:r>
          </w:p>
        </w:tc>
        <w:tc>
          <w:tcPr>
            <w:tcW w:w="0" w:type="dxa"/>
            <w:vAlign w:val="bottom"/>
          </w:tcPr>
          <w:p>
            <w:pPr>
              <w:spacing w:after="0"/>
              <w:rPr>
                <w:sz w:val="1"/>
                <w:szCs w:val="1"/>
                <w:color w:val="auto"/>
              </w:rPr>
            </w:pPr>
          </w:p>
        </w:tc>
      </w:tr>
      <w:tr>
        <w:trPr>
          <w:trHeight w:val="237"/>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362,507</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170,446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530,854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6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4"/>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362,507</w:t>
            </w:r>
          </w:p>
        </w:tc>
        <w:tc>
          <w:tcPr>
            <w:tcW w:w="14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170,446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530,854</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Profit for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25,043</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27,867</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(100,784)</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(100,846)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16,353</w:t>
            </w:r>
          </w:p>
        </w:tc>
        <w:tc>
          <w:tcPr>
            <w:tcW w:w="14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16,353</w:t>
            </w:r>
          </w:p>
        </w:tc>
        <w:tc>
          <w:tcPr>
            <w:tcW w:w="0" w:type="dxa"/>
            <w:vAlign w:val="bottom"/>
          </w:tcPr>
          <w:p>
            <w:pPr>
              <w:spacing w:after="0"/>
              <w:rPr>
                <w:sz w:val="1"/>
                <w:szCs w:val="1"/>
                <w:color w:val="auto"/>
              </w:rPr>
            </w:pPr>
          </w:p>
        </w:tc>
      </w:tr>
      <w:tr>
        <w:trPr>
          <w:trHeight w:val="237"/>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278,510</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195,489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474,671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4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676"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 (loss) for the year</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25,043</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63,124</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58,676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78,285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financing expense (income)</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disposals of fixed and intangible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Loss (income) on leases modification</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and revaluation on sale of business unit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Remeasurement of net investment in a finance lease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Share-based compensation and restricted shares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18,048</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expense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21,931</w:t>
            </w:r>
          </w:p>
        </w:tc>
        <w:tc>
          <w:tcPr>
            <w:tcW w:w="10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(14,458)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30,603</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(21,311)</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57,671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(43,077)</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employee benefits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received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paid</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(11,417)</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(5,512)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received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8,016</w:t>
            </w:r>
          </w:p>
        </w:tc>
        <w:tc>
          <w:tcPr>
            <w:tcW w:w="0" w:type="dxa"/>
            <w:vAlign w:val="bottom"/>
          </w:tcPr>
          <w:p>
            <w:pPr>
              <w:spacing w:after="0"/>
              <w:rPr>
                <w:sz w:val="1"/>
                <w:szCs w:val="1"/>
                <w:color w:val="auto"/>
              </w:rPr>
            </w:pPr>
          </w:p>
        </w:tc>
      </w:tr>
      <w:tr>
        <w:trPr>
          <w:trHeight w:val="237"/>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paid</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(6,375)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110,109</w:t>
            </w:r>
          </w:p>
        </w:tc>
        <w:tc>
          <w:tcPr>
            <w:tcW w:w="10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150,835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pledged deposits, net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on finance lease receivable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debt investment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(12,118)</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(7,742)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and capitalization of intangible assets</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(17,577)</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(15,779)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36"/>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(48,622)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(21,212)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own shares</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(101,702)</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(60,735)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(9,518)</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Leases repayment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(16,265)</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(15,142)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(17,262)</w:t>
            </w:r>
          </w:p>
        </w:tc>
        <w:tc>
          <w:tcPr>
            <w:tcW w:w="0" w:type="dxa"/>
            <w:vAlign w:val="bottom"/>
          </w:tcPr>
          <w:p>
            <w:pPr>
              <w:spacing w:after="0"/>
              <w:rPr>
                <w:sz w:val="1"/>
                <w:szCs w:val="1"/>
                <w:color w:val="auto"/>
              </w:rPr>
            </w:pPr>
          </w:p>
        </w:tc>
      </w:tr>
      <w:tr>
        <w:trPr>
          <w:trHeight w:val="236"/>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(117,524)</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144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(56,037)</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BEGINNING OF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217,500</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FLUCTUATIONS ON CASH AND CASH</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restart"/>
          </w:tcPr>
          <w:p>
            <w:pPr>
              <w:spacing w:after="0"/>
              <w:rPr>
                <w:sz w:val="18"/>
                <w:szCs w:val="18"/>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(2,119)</w:t>
            </w: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5"/>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1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187,068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234,308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3"/>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o"/>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o"/>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o"/>
      <w:numFmt w:val="bullet"/>
      <w:start w:val="1"/>
    </w:lvl>
  </w:abstractNum>
  <w:abstractNum w:abstractNumId="8">
    <w:nsid w:val="12200854"/>
    <w:multiLevelType w:val="hybridMultilevel"/>
    <w:lvl w:ilvl="0">
      <w:lvlJc w:val="left"/>
      <w:lvlText w:val="o"/>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2026-03-04T07:33:28Z</dcterms:created>
  <dcterms:modified xsi:type="dcterms:W3CDTF">2026-03-04T07:33:28Z</dcterms:modified>
</cp:coreProperties>
</file>